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304" w:rsidRPr="00026E94" w:rsidRDefault="00026E94" w:rsidP="00C60304">
      <w:pPr>
        <w:jc w:val="center"/>
        <w:rPr>
          <w:rFonts w:ascii="Palatino Linotype" w:hAnsi="Palatino Linotype"/>
          <w:b/>
          <w:i/>
          <w:sz w:val="20"/>
          <w:szCs w:val="20"/>
          <w:u w:val="single"/>
          <w:lang w:val="es-MX"/>
        </w:rPr>
      </w:pPr>
      <w:r w:rsidRPr="00026E94">
        <w:rPr>
          <w:rFonts w:ascii="Palatino Linotype" w:hAnsi="Palatino Linotype"/>
          <w:b/>
          <w:i/>
          <w:sz w:val="20"/>
          <w:szCs w:val="20"/>
          <w:u w:val="single"/>
          <w:lang w:val="es-MX"/>
        </w:rPr>
        <w:t xml:space="preserve">Modelo </w:t>
      </w:r>
      <w:r w:rsidR="00C60304" w:rsidRPr="00026E94">
        <w:rPr>
          <w:rFonts w:ascii="Palatino Linotype" w:hAnsi="Palatino Linotype"/>
          <w:b/>
          <w:i/>
          <w:sz w:val="20"/>
          <w:szCs w:val="20"/>
          <w:u w:val="single"/>
          <w:lang w:val="es-MX"/>
        </w:rPr>
        <w:t>de Nota sobre Unidad de Medida</w:t>
      </w:r>
    </w:p>
    <w:p w:rsidR="00C60304" w:rsidRPr="00026E94" w:rsidRDefault="00C60304" w:rsidP="00C60304">
      <w:pPr>
        <w:jc w:val="both"/>
        <w:rPr>
          <w:rFonts w:ascii="Palatino Linotype" w:hAnsi="Palatino Linotype"/>
          <w:sz w:val="20"/>
          <w:szCs w:val="20"/>
          <w:lang w:val="es-MX"/>
        </w:rPr>
      </w:pPr>
    </w:p>
    <w:p w:rsidR="00C60304" w:rsidRPr="00026E94" w:rsidRDefault="00C60304" w:rsidP="00903858">
      <w:pPr>
        <w:rPr>
          <w:rFonts w:ascii="Palatino Linotype" w:hAnsi="Palatino Linotype"/>
          <w:b/>
          <w:i/>
          <w:sz w:val="20"/>
          <w:szCs w:val="20"/>
          <w:u w:val="single"/>
          <w:lang w:val="es-MX"/>
        </w:rPr>
      </w:pPr>
      <w:r w:rsidRPr="00026E94">
        <w:rPr>
          <w:rFonts w:ascii="Palatino Linotype" w:hAnsi="Palatino Linotype"/>
          <w:b/>
          <w:i/>
          <w:sz w:val="20"/>
          <w:szCs w:val="20"/>
          <w:u w:val="single"/>
          <w:lang w:val="es-MX"/>
        </w:rPr>
        <w:t>Unidad de Medida.</w:t>
      </w:r>
    </w:p>
    <w:p w:rsidR="00C60304" w:rsidRPr="00BF3C26" w:rsidRDefault="00C60304" w:rsidP="00C60304">
      <w:pPr>
        <w:jc w:val="both"/>
        <w:rPr>
          <w:rFonts w:ascii="Palatino Linotype" w:hAnsi="Palatino Linotype"/>
          <w:i/>
          <w:sz w:val="20"/>
          <w:szCs w:val="20"/>
          <w:highlight w:val="yellow"/>
          <w:lang w:val="es-MX"/>
        </w:rPr>
      </w:pPr>
    </w:p>
    <w:p w:rsidR="003240CE" w:rsidRDefault="00C60304" w:rsidP="00C60304">
      <w:pPr>
        <w:jc w:val="both"/>
        <w:rPr>
          <w:rFonts w:ascii="Palatino Linotype" w:hAnsi="Palatino Linotype"/>
          <w:i/>
          <w:sz w:val="20"/>
          <w:szCs w:val="20"/>
          <w:lang w:val="es-MX"/>
        </w:rPr>
      </w:pPr>
      <w:r w:rsidRPr="00FA02F8">
        <w:rPr>
          <w:rFonts w:ascii="Palatino Linotype" w:hAnsi="Palatino Linotype"/>
          <w:i/>
          <w:sz w:val="20"/>
          <w:szCs w:val="20"/>
          <w:lang w:val="es-MX"/>
        </w:rPr>
        <w:t>Los estados contables han sido preparados en moneda homogénea reconociendo los efectos de la inflación de acuerdo con las correspondientes normas contables profesionales aplicables</w:t>
      </w:r>
      <w:r w:rsidR="003C71B3">
        <w:rPr>
          <w:rFonts w:ascii="Palatino Linotype" w:hAnsi="Palatino Linotype"/>
          <w:i/>
          <w:sz w:val="20"/>
          <w:szCs w:val="20"/>
          <w:lang w:val="es-MX"/>
        </w:rPr>
        <w:t>.</w:t>
      </w:r>
    </w:p>
    <w:p w:rsidR="003C71B3" w:rsidRDefault="003C71B3" w:rsidP="00C60304">
      <w:pPr>
        <w:jc w:val="both"/>
        <w:rPr>
          <w:rFonts w:ascii="Palatino Linotype" w:hAnsi="Palatino Linotype"/>
          <w:i/>
          <w:sz w:val="20"/>
          <w:szCs w:val="20"/>
          <w:lang w:val="es-MX"/>
        </w:rPr>
      </w:pPr>
    </w:p>
    <w:p w:rsidR="00F05525" w:rsidRDefault="003240CE" w:rsidP="00C60304">
      <w:pPr>
        <w:jc w:val="both"/>
        <w:rPr>
          <w:rFonts w:ascii="Palatino Linotype" w:hAnsi="Palatino Linotype"/>
          <w:i/>
          <w:sz w:val="20"/>
          <w:szCs w:val="20"/>
          <w:lang w:val="es-MX"/>
        </w:rPr>
      </w:pPr>
      <w:r>
        <w:rPr>
          <w:rFonts w:ascii="Palatino Linotype" w:hAnsi="Palatino Linotype"/>
          <w:i/>
          <w:sz w:val="20"/>
          <w:szCs w:val="20"/>
          <w:lang w:val="es-MX"/>
        </w:rPr>
        <w:t>En</w:t>
      </w:r>
      <w:r w:rsidR="00193387">
        <w:rPr>
          <w:rFonts w:ascii="Palatino Linotype" w:hAnsi="Palatino Linotype"/>
          <w:i/>
          <w:sz w:val="20"/>
          <w:szCs w:val="20"/>
          <w:lang w:val="es-MX"/>
        </w:rPr>
        <w:t xml:space="preserve"> </w:t>
      </w:r>
      <w:r w:rsidRPr="003240CE">
        <w:rPr>
          <w:rFonts w:ascii="Palatino Linotype" w:hAnsi="Palatino Linotype"/>
          <w:i/>
          <w:sz w:val="20"/>
          <w:szCs w:val="20"/>
          <w:lang w:val="es-MX"/>
        </w:rPr>
        <w:t xml:space="preserve">la </w:t>
      </w:r>
      <w:proofErr w:type="spellStart"/>
      <w:r w:rsidRPr="003240CE">
        <w:rPr>
          <w:rFonts w:ascii="Palatino Linotype" w:hAnsi="Palatino Linotype"/>
          <w:i/>
          <w:sz w:val="20"/>
          <w:szCs w:val="20"/>
          <w:lang w:val="es-MX"/>
        </w:rPr>
        <w:t>reexpresión</w:t>
      </w:r>
      <w:proofErr w:type="spellEnd"/>
      <w:r w:rsidRPr="003240CE">
        <w:rPr>
          <w:rFonts w:ascii="Palatino Linotype" w:hAnsi="Palatino Linotype"/>
          <w:i/>
          <w:sz w:val="20"/>
          <w:szCs w:val="20"/>
          <w:lang w:val="es-MX"/>
        </w:rPr>
        <w:t xml:space="preserve"> para reflejar las variaciones en el poder adquisitivo de la moneda</w:t>
      </w:r>
      <w:r w:rsidR="00193387">
        <w:rPr>
          <w:rFonts w:ascii="Palatino Linotype" w:hAnsi="Palatino Linotype"/>
          <w:i/>
          <w:sz w:val="20"/>
          <w:szCs w:val="20"/>
          <w:lang w:val="es-MX"/>
        </w:rPr>
        <w:t xml:space="preserve"> se siguió el método de ajuste establecido por la Resolución Técnica Nº 6</w:t>
      </w:r>
      <w:r w:rsidR="0031180F">
        <w:rPr>
          <w:rFonts w:ascii="Palatino Linotype" w:hAnsi="Palatino Linotype"/>
          <w:i/>
          <w:sz w:val="20"/>
          <w:szCs w:val="20"/>
          <w:lang w:val="es-MX"/>
        </w:rPr>
        <w:t>, su normativa modificatoria</w:t>
      </w:r>
      <w:r w:rsidR="001A7143">
        <w:rPr>
          <w:rFonts w:ascii="Palatino Linotype" w:hAnsi="Palatino Linotype"/>
          <w:i/>
          <w:sz w:val="20"/>
          <w:szCs w:val="20"/>
          <w:lang w:val="es-MX"/>
        </w:rPr>
        <w:t xml:space="preserve"> y </w:t>
      </w:r>
      <w:r w:rsidR="0031180F">
        <w:rPr>
          <w:rFonts w:ascii="Palatino Linotype" w:hAnsi="Palatino Linotype"/>
          <w:i/>
          <w:sz w:val="20"/>
          <w:szCs w:val="20"/>
          <w:lang w:val="es-MX"/>
        </w:rPr>
        <w:t xml:space="preserve">complementaria, </w:t>
      </w:r>
      <w:r w:rsidR="008D743A">
        <w:rPr>
          <w:rFonts w:ascii="Palatino Linotype" w:hAnsi="Palatino Linotype"/>
          <w:i/>
          <w:sz w:val="20"/>
          <w:szCs w:val="20"/>
          <w:lang w:val="es-MX"/>
        </w:rPr>
        <w:t>de la forma</w:t>
      </w:r>
      <w:r w:rsidR="007B01D1">
        <w:rPr>
          <w:rFonts w:ascii="Palatino Linotype" w:hAnsi="Palatino Linotype"/>
          <w:i/>
          <w:sz w:val="20"/>
          <w:szCs w:val="20"/>
          <w:lang w:val="es-MX"/>
        </w:rPr>
        <w:t xml:space="preserve"> en que</w:t>
      </w:r>
      <w:r w:rsidR="00C52514">
        <w:rPr>
          <w:rFonts w:ascii="Palatino Linotype" w:hAnsi="Palatino Linotype"/>
          <w:i/>
          <w:sz w:val="20"/>
          <w:szCs w:val="20"/>
          <w:lang w:val="es-MX"/>
        </w:rPr>
        <w:t xml:space="preserve"> ha sido aprobad</w:t>
      </w:r>
      <w:r w:rsidR="001A7143">
        <w:rPr>
          <w:rFonts w:ascii="Palatino Linotype" w:hAnsi="Palatino Linotype"/>
          <w:i/>
          <w:sz w:val="20"/>
          <w:szCs w:val="20"/>
          <w:lang w:val="es-MX"/>
        </w:rPr>
        <w:t>o</w:t>
      </w:r>
      <w:r w:rsidR="00C52514">
        <w:rPr>
          <w:rFonts w:ascii="Palatino Linotype" w:hAnsi="Palatino Linotype"/>
          <w:i/>
          <w:sz w:val="20"/>
          <w:szCs w:val="20"/>
          <w:lang w:val="es-MX"/>
        </w:rPr>
        <w:t xml:space="preserve"> </w:t>
      </w:r>
      <w:r w:rsidR="00F05525">
        <w:rPr>
          <w:rFonts w:ascii="Palatino Linotype" w:hAnsi="Palatino Linotype"/>
          <w:i/>
          <w:sz w:val="20"/>
          <w:szCs w:val="20"/>
          <w:lang w:val="es-MX"/>
        </w:rPr>
        <w:t>y reglamentad</w:t>
      </w:r>
      <w:r w:rsidR="001A7143">
        <w:rPr>
          <w:rFonts w:ascii="Palatino Linotype" w:hAnsi="Palatino Linotype"/>
          <w:i/>
          <w:sz w:val="20"/>
          <w:szCs w:val="20"/>
          <w:lang w:val="es-MX"/>
        </w:rPr>
        <w:t xml:space="preserve">o </w:t>
      </w:r>
      <w:r w:rsidR="00F05525">
        <w:rPr>
          <w:rFonts w:ascii="Palatino Linotype" w:hAnsi="Palatino Linotype"/>
          <w:i/>
          <w:sz w:val="20"/>
          <w:szCs w:val="20"/>
          <w:lang w:val="es-MX"/>
        </w:rPr>
        <w:t xml:space="preserve">por </w:t>
      </w:r>
      <w:r w:rsidR="002C28DF">
        <w:rPr>
          <w:rFonts w:ascii="Palatino Linotype" w:hAnsi="Palatino Linotype"/>
          <w:i/>
          <w:sz w:val="20"/>
          <w:szCs w:val="20"/>
          <w:lang w:val="es-MX"/>
        </w:rPr>
        <w:t>el C</w:t>
      </w:r>
      <w:r w:rsidR="00F05525">
        <w:rPr>
          <w:rFonts w:ascii="Palatino Linotype" w:hAnsi="Palatino Linotype"/>
          <w:i/>
          <w:sz w:val="20"/>
          <w:szCs w:val="20"/>
          <w:lang w:val="es-MX"/>
        </w:rPr>
        <w:t xml:space="preserve">onsejo </w:t>
      </w:r>
      <w:r w:rsidR="002C28DF">
        <w:rPr>
          <w:rFonts w:ascii="Palatino Linotype" w:hAnsi="Palatino Linotype"/>
          <w:i/>
          <w:sz w:val="20"/>
          <w:szCs w:val="20"/>
          <w:lang w:val="es-MX"/>
        </w:rPr>
        <w:t>P</w:t>
      </w:r>
      <w:r w:rsidR="00F05525">
        <w:rPr>
          <w:rFonts w:ascii="Palatino Linotype" w:hAnsi="Palatino Linotype"/>
          <w:i/>
          <w:sz w:val="20"/>
          <w:szCs w:val="20"/>
          <w:lang w:val="es-MX"/>
        </w:rPr>
        <w:t xml:space="preserve">rofesional de </w:t>
      </w:r>
      <w:r w:rsidR="002C28DF">
        <w:rPr>
          <w:rFonts w:ascii="Palatino Linotype" w:hAnsi="Palatino Linotype"/>
          <w:i/>
          <w:sz w:val="20"/>
          <w:szCs w:val="20"/>
          <w:lang w:val="es-MX"/>
        </w:rPr>
        <w:t>C</w:t>
      </w:r>
      <w:r w:rsidR="00F05525">
        <w:rPr>
          <w:rFonts w:ascii="Palatino Linotype" w:hAnsi="Palatino Linotype"/>
          <w:i/>
          <w:sz w:val="20"/>
          <w:szCs w:val="20"/>
          <w:lang w:val="es-MX"/>
        </w:rPr>
        <w:t xml:space="preserve">iencias </w:t>
      </w:r>
      <w:r w:rsidR="002C28DF">
        <w:rPr>
          <w:rFonts w:ascii="Palatino Linotype" w:hAnsi="Palatino Linotype"/>
          <w:i/>
          <w:sz w:val="20"/>
          <w:szCs w:val="20"/>
          <w:lang w:val="es-MX"/>
        </w:rPr>
        <w:t>E</w:t>
      </w:r>
      <w:r w:rsidR="00F05525">
        <w:rPr>
          <w:rFonts w:ascii="Palatino Linotype" w:hAnsi="Palatino Linotype"/>
          <w:i/>
          <w:sz w:val="20"/>
          <w:szCs w:val="20"/>
          <w:lang w:val="es-MX"/>
        </w:rPr>
        <w:t xml:space="preserve">conómicas de la </w:t>
      </w:r>
      <w:r w:rsidR="002C28DF">
        <w:rPr>
          <w:rFonts w:ascii="Palatino Linotype" w:hAnsi="Palatino Linotype"/>
          <w:i/>
          <w:sz w:val="20"/>
          <w:szCs w:val="20"/>
          <w:lang w:val="es-MX"/>
        </w:rPr>
        <w:t>P</w:t>
      </w:r>
      <w:r w:rsidR="00F05525">
        <w:rPr>
          <w:rFonts w:ascii="Palatino Linotype" w:hAnsi="Palatino Linotype"/>
          <w:i/>
          <w:sz w:val="20"/>
          <w:szCs w:val="20"/>
          <w:lang w:val="es-MX"/>
        </w:rPr>
        <w:t xml:space="preserve">rovincia de </w:t>
      </w:r>
      <w:r w:rsidR="002C28DF">
        <w:rPr>
          <w:rFonts w:ascii="Palatino Linotype" w:hAnsi="Palatino Linotype"/>
          <w:i/>
          <w:sz w:val="20"/>
          <w:szCs w:val="20"/>
          <w:lang w:val="es-MX"/>
        </w:rPr>
        <w:t>B</w:t>
      </w:r>
      <w:r w:rsidR="00F05525">
        <w:rPr>
          <w:rFonts w:ascii="Palatino Linotype" w:hAnsi="Palatino Linotype"/>
          <w:i/>
          <w:sz w:val="20"/>
          <w:szCs w:val="20"/>
          <w:lang w:val="es-MX"/>
        </w:rPr>
        <w:t xml:space="preserve">uenos </w:t>
      </w:r>
      <w:r w:rsidR="002C28DF">
        <w:rPr>
          <w:rFonts w:ascii="Palatino Linotype" w:hAnsi="Palatino Linotype"/>
          <w:i/>
          <w:sz w:val="20"/>
          <w:szCs w:val="20"/>
          <w:lang w:val="es-MX"/>
        </w:rPr>
        <w:t>A</w:t>
      </w:r>
      <w:r w:rsidR="00F05525">
        <w:rPr>
          <w:rFonts w:ascii="Palatino Linotype" w:hAnsi="Palatino Linotype"/>
          <w:i/>
          <w:sz w:val="20"/>
          <w:szCs w:val="20"/>
          <w:lang w:val="es-MX"/>
        </w:rPr>
        <w:t>ires</w:t>
      </w:r>
      <w:r w:rsidR="002C28DF">
        <w:rPr>
          <w:rFonts w:ascii="Palatino Linotype" w:hAnsi="Palatino Linotype"/>
          <w:i/>
          <w:sz w:val="20"/>
          <w:szCs w:val="20"/>
          <w:lang w:val="es-MX"/>
        </w:rPr>
        <w:t xml:space="preserve">. </w:t>
      </w:r>
    </w:p>
    <w:p w:rsidR="0031180F" w:rsidRDefault="0031180F" w:rsidP="00C60304">
      <w:pPr>
        <w:jc w:val="both"/>
        <w:rPr>
          <w:rFonts w:ascii="Palatino Linotype" w:hAnsi="Palatino Linotype"/>
          <w:i/>
          <w:sz w:val="20"/>
          <w:szCs w:val="20"/>
          <w:lang w:val="es-MX"/>
        </w:rPr>
      </w:pPr>
    </w:p>
    <w:p w:rsidR="00F05525" w:rsidRDefault="0031180F" w:rsidP="00C60304">
      <w:pPr>
        <w:jc w:val="both"/>
        <w:rPr>
          <w:rFonts w:ascii="Palatino Linotype" w:hAnsi="Palatino Linotype"/>
          <w:i/>
          <w:sz w:val="20"/>
          <w:szCs w:val="20"/>
          <w:lang w:val="es-MX"/>
        </w:rPr>
      </w:pPr>
      <w:r>
        <w:rPr>
          <w:rFonts w:ascii="Palatino Linotype" w:hAnsi="Palatino Linotype"/>
          <w:i/>
          <w:sz w:val="20"/>
          <w:szCs w:val="20"/>
          <w:lang w:val="es-MX"/>
        </w:rPr>
        <w:t xml:space="preserve">Por Resolución MD N° 2883 del </w:t>
      </w:r>
      <w:r w:rsidR="00750566">
        <w:rPr>
          <w:rFonts w:ascii="Palatino Linotype" w:hAnsi="Palatino Linotype"/>
          <w:i/>
          <w:sz w:val="20"/>
          <w:szCs w:val="20"/>
          <w:lang w:val="es-MX"/>
        </w:rPr>
        <w:t xml:space="preserve">CPCEPBA </w:t>
      </w:r>
      <w:r>
        <w:rPr>
          <w:rFonts w:ascii="Palatino Linotype" w:hAnsi="Palatino Linotype"/>
          <w:i/>
          <w:sz w:val="20"/>
          <w:szCs w:val="20"/>
          <w:lang w:val="es-MX"/>
        </w:rPr>
        <w:t xml:space="preserve">se aprobó la </w:t>
      </w:r>
      <w:r w:rsidR="0061499E">
        <w:rPr>
          <w:rFonts w:ascii="Palatino Linotype" w:hAnsi="Palatino Linotype"/>
          <w:i/>
          <w:sz w:val="20"/>
          <w:szCs w:val="20"/>
          <w:lang w:val="es-MX"/>
        </w:rPr>
        <w:t xml:space="preserve">Segunda Parte de la </w:t>
      </w:r>
      <w:r>
        <w:rPr>
          <w:rFonts w:ascii="Palatino Linotype" w:hAnsi="Palatino Linotype"/>
          <w:i/>
          <w:sz w:val="20"/>
          <w:szCs w:val="20"/>
          <w:lang w:val="es-MX"/>
        </w:rPr>
        <w:t xml:space="preserve">Resolución JG FACPCE </w:t>
      </w:r>
      <w:r w:rsidR="0061499E">
        <w:rPr>
          <w:rFonts w:ascii="Palatino Linotype" w:hAnsi="Palatino Linotype"/>
          <w:i/>
          <w:sz w:val="20"/>
          <w:szCs w:val="20"/>
          <w:lang w:val="es-MX"/>
        </w:rPr>
        <w:t xml:space="preserve">N° 539/18, </w:t>
      </w:r>
      <w:r w:rsidR="008D743A">
        <w:rPr>
          <w:rFonts w:ascii="Palatino Linotype" w:hAnsi="Palatino Linotype"/>
          <w:i/>
          <w:sz w:val="20"/>
          <w:szCs w:val="20"/>
          <w:lang w:val="es-MX"/>
        </w:rPr>
        <w:t>en los términos</w:t>
      </w:r>
      <w:r w:rsidR="0061499E">
        <w:rPr>
          <w:rFonts w:ascii="Palatino Linotype" w:hAnsi="Palatino Linotype"/>
          <w:i/>
          <w:sz w:val="20"/>
          <w:szCs w:val="20"/>
          <w:lang w:val="es-MX"/>
        </w:rPr>
        <w:t xml:space="preserve"> indicad</w:t>
      </w:r>
      <w:r w:rsidR="008D743A">
        <w:rPr>
          <w:rFonts w:ascii="Palatino Linotype" w:hAnsi="Palatino Linotype"/>
          <w:i/>
          <w:sz w:val="20"/>
          <w:szCs w:val="20"/>
          <w:lang w:val="es-MX"/>
        </w:rPr>
        <w:t>os</w:t>
      </w:r>
      <w:r w:rsidR="0061499E">
        <w:rPr>
          <w:rFonts w:ascii="Palatino Linotype" w:hAnsi="Palatino Linotype"/>
          <w:i/>
          <w:sz w:val="20"/>
          <w:szCs w:val="20"/>
          <w:lang w:val="es-MX"/>
        </w:rPr>
        <w:t xml:space="preserve"> en el Anexo de la referida Resolución del CPCEPBA, con vigencia </w:t>
      </w:r>
      <w:bookmarkStart w:id="0" w:name="_GoBack"/>
      <w:bookmarkEnd w:id="0"/>
      <w:r w:rsidR="0061499E" w:rsidRPr="0061499E">
        <w:rPr>
          <w:rFonts w:ascii="Palatino Linotype" w:hAnsi="Palatino Linotype"/>
          <w:i/>
          <w:sz w:val="20"/>
          <w:szCs w:val="20"/>
        </w:rPr>
        <w:t xml:space="preserve">obligatoria para los estados contables correspondientes a ejercicios o períodos intermedios cerrados a partir del 31 de diciembre de 2018, inclusive, </w:t>
      </w:r>
      <w:r w:rsidR="0061499E">
        <w:rPr>
          <w:rFonts w:ascii="Palatino Linotype" w:hAnsi="Palatino Linotype"/>
          <w:i/>
          <w:sz w:val="20"/>
          <w:szCs w:val="20"/>
          <w:lang w:val="es-MX"/>
        </w:rPr>
        <w:t xml:space="preserve">contemplando la posibilidad </w:t>
      </w:r>
      <w:r w:rsidR="008D743A">
        <w:rPr>
          <w:rFonts w:ascii="Palatino Linotype" w:hAnsi="Palatino Linotype"/>
          <w:i/>
          <w:sz w:val="20"/>
          <w:szCs w:val="20"/>
          <w:lang w:val="es-MX"/>
        </w:rPr>
        <w:t xml:space="preserve">de </w:t>
      </w:r>
      <w:r w:rsidR="0061499E">
        <w:rPr>
          <w:rFonts w:ascii="Palatino Linotype" w:hAnsi="Palatino Linotype"/>
          <w:i/>
          <w:sz w:val="20"/>
          <w:szCs w:val="20"/>
          <w:lang w:val="es-MX"/>
        </w:rPr>
        <w:t>utiliza</w:t>
      </w:r>
      <w:r w:rsidR="008D743A">
        <w:rPr>
          <w:rFonts w:ascii="Palatino Linotype" w:hAnsi="Palatino Linotype"/>
          <w:i/>
          <w:sz w:val="20"/>
          <w:szCs w:val="20"/>
          <w:lang w:val="es-MX"/>
        </w:rPr>
        <w:t>r</w:t>
      </w:r>
      <w:r w:rsidR="0061499E">
        <w:rPr>
          <w:rFonts w:ascii="Palatino Linotype" w:hAnsi="Palatino Linotype"/>
          <w:i/>
          <w:sz w:val="20"/>
          <w:szCs w:val="20"/>
          <w:lang w:val="es-MX"/>
        </w:rPr>
        <w:t xml:space="preserve"> ciertas simplificaciones respecto de la metodología establecida en la RT N° 6</w:t>
      </w:r>
      <w:r w:rsidR="00750566">
        <w:rPr>
          <w:rFonts w:ascii="Palatino Linotype" w:hAnsi="Palatino Linotype"/>
          <w:i/>
          <w:sz w:val="20"/>
          <w:szCs w:val="20"/>
          <w:lang w:val="es-MX"/>
        </w:rPr>
        <w:t>. En la norma del CPCEPBA se definen también diversos aspectos rel</w:t>
      </w:r>
      <w:r w:rsidR="00605D73">
        <w:rPr>
          <w:rFonts w:ascii="Palatino Linotype" w:hAnsi="Palatino Linotype"/>
          <w:i/>
          <w:sz w:val="20"/>
          <w:szCs w:val="20"/>
          <w:lang w:val="es-MX"/>
        </w:rPr>
        <w:t xml:space="preserve">evantes </w:t>
      </w:r>
      <w:r w:rsidR="00750566">
        <w:rPr>
          <w:rFonts w:ascii="Palatino Linotype" w:hAnsi="Palatino Linotype"/>
          <w:i/>
          <w:sz w:val="20"/>
          <w:szCs w:val="20"/>
          <w:lang w:val="es-MX"/>
        </w:rPr>
        <w:t xml:space="preserve">para aplicar el procedimiento de </w:t>
      </w:r>
      <w:proofErr w:type="spellStart"/>
      <w:r w:rsidR="00750566">
        <w:rPr>
          <w:rFonts w:ascii="Palatino Linotype" w:hAnsi="Palatino Linotype"/>
          <w:i/>
          <w:sz w:val="20"/>
          <w:szCs w:val="20"/>
          <w:lang w:val="es-MX"/>
        </w:rPr>
        <w:t>reexpresión</w:t>
      </w:r>
      <w:proofErr w:type="spellEnd"/>
      <w:r w:rsidR="00750566">
        <w:rPr>
          <w:rFonts w:ascii="Palatino Linotype" w:hAnsi="Palatino Linotype"/>
          <w:i/>
          <w:sz w:val="20"/>
          <w:szCs w:val="20"/>
          <w:lang w:val="es-MX"/>
        </w:rPr>
        <w:t xml:space="preserve"> de las cifras de los estados contables.</w:t>
      </w:r>
    </w:p>
    <w:p w:rsidR="00750566" w:rsidRDefault="00750566" w:rsidP="00C60304">
      <w:pPr>
        <w:jc w:val="both"/>
        <w:rPr>
          <w:rFonts w:ascii="Palatino Linotype" w:hAnsi="Palatino Linotype"/>
          <w:i/>
          <w:sz w:val="20"/>
          <w:szCs w:val="20"/>
          <w:lang w:val="es-MX"/>
        </w:rPr>
      </w:pPr>
    </w:p>
    <w:p w:rsidR="001A7143" w:rsidRDefault="001A7143" w:rsidP="001A7143">
      <w:pPr>
        <w:jc w:val="both"/>
        <w:rPr>
          <w:rFonts w:ascii="Palatino Linotype" w:hAnsi="Palatino Linotype"/>
          <w:i/>
          <w:sz w:val="20"/>
          <w:szCs w:val="20"/>
          <w:lang w:val="es-MX"/>
        </w:rPr>
      </w:pPr>
      <w:r>
        <w:rPr>
          <w:rFonts w:ascii="Palatino Linotype" w:hAnsi="Palatino Linotype"/>
          <w:i/>
          <w:sz w:val="20"/>
          <w:szCs w:val="20"/>
          <w:lang w:val="es-MX"/>
        </w:rPr>
        <w:t>El índice utilizado</w:t>
      </w:r>
      <w:r w:rsidRPr="003C71B3">
        <w:rPr>
          <w:rFonts w:ascii="Palatino Linotype" w:hAnsi="Palatino Linotype"/>
          <w:i/>
          <w:sz w:val="20"/>
          <w:szCs w:val="20"/>
          <w:lang w:val="es-MX"/>
        </w:rPr>
        <w:t xml:space="preserve"> </w:t>
      </w:r>
      <w:r w:rsidRPr="003C71B3">
        <w:rPr>
          <w:rFonts w:ascii="Palatino Linotype" w:hAnsi="Palatino Linotype"/>
          <w:b/>
          <w:i/>
          <w:sz w:val="20"/>
          <w:szCs w:val="20"/>
          <w:lang w:val="es-MX"/>
        </w:rPr>
        <w:t xml:space="preserve"> [en el actual proceso de </w:t>
      </w:r>
      <w:proofErr w:type="spellStart"/>
      <w:r w:rsidRPr="003C71B3">
        <w:rPr>
          <w:rFonts w:ascii="Palatino Linotype" w:hAnsi="Palatino Linotype"/>
          <w:b/>
          <w:i/>
          <w:sz w:val="20"/>
          <w:szCs w:val="20"/>
          <w:lang w:val="es-MX"/>
        </w:rPr>
        <w:t>reexpresión</w:t>
      </w:r>
      <w:proofErr w:type="spellEnd"/>
      <w:r w:rsidRPr="003C71B3">
        <w:rPr>
          <w:rFonts w:ascii="Palatino Linotype" w:hAnsi="Palatino Linotype"/>
          <w:b/>
          <w:i/>
          <w:sz w:val="20"/>
          <w:szCs w:val="20"/>
          <w:lang w:val="es-MX"/>
        </w:rPr>
        <w:t xml:space="preserve">] </w:t>
      </w:r>
      <w:r w:rsidRPr="00C775E2">
        <w:rPr>
          <w:rFonts w:ascii="Palatino Linotype" w:hAnsi="Palatino Linotype"/>
          <w:b/>
          <w:color w:val="FF0000"/>
          <w:sz w:val="28"/>
          <w:szCs w:val="28"/>
          <w:vertAlign w:val="superscript"/>
        </w:rPr>
        <w:t>1</w:t>
      </w:r>
      <w:r>
        <w:rPr>
          <w:rFonts w:ascii="Palatino Linotype" w:hAnsi="Palatino Linotype"/>
          <w:b/>
          <w:color w:val="FF0000"/>
          <w:sz w:val="28"/>
          <w:szCs w:val="28"/>
          <w:vertAlign w:val="superscript"/>
        </w:rPr>
        <w:t xml:space="preserve"> </w:t>
      </w:r>
      <w:r>
        <w:rPr>
          <w:rFonts w:ascii="Palatino Linotype" w:hAnsi="Palatino Linotype"/>
          <w:i/>
          <w:sz w:val="20"/>
          <w:szCs w:val="20"/>
          <w:lang w:val="es-MX"/>
        </w:rPr>
        <w:t>es el que resulta de la combinación del IPIM y del índice elaborado por la FACPCE, de acuerdo a lo establecido por</w:t>
      </w:r>
      <w:r w:rsidRPr="003C71B3">
        <w:rPr>
          <w:rFonts w:ascii="Palatino Linotype" w:hAnsi="Palatino Linotype"/>
          <w:i/>
          <w:sz w:val="20"/>
          <w:szCs w:val="20"/>
          <w:lang w:val="es-MX"/>
        </w:rPr>
        <w:t xml:space="preserve"> </w:t>
      </w:r>
      <w:r>
        <w:rPr>
          <w:rFonts w:ascii="Palatino Linotype" w:hAnsi="Palatino Linotype"/>
          <w:i/>
          <w:sz w:val="20"/>
          <w:szCs w:val="20"/>
          <w:lang w:val="es-MX"/>
        </w:rPr>
        <w:t xml:space="preserve"> los artículos 3° y 7° de la citada Resolución MD N° 2883</w:t>
      </w:r>
      <w:r w:rsidR="008D743A">
        <w:rPr>
          <w:rFonts w:ascii="Palatino Linotype" w:hAnsi="Palatino Linotype"/>
          <w:i/>
          <w:sz w:val="20"/>
          <w:szCs w:val="20"/>
          <w:lang w:val="es-MX"/>
        </w:rPr>
        <w:t>.</w:t>
      </w:r>
      <w:r>
        <w:rPr>
          <w:rFonts w:ascii="Palatino Linotype" w:hAnsi="Palatino Linotype"/>
          <w:i/>
          <w:sz w:val="20"/>
          <w:szCs w:val="20"/>
          <w:lang w:val="es-MX"/>
        </w:rPr>
        <w:t xml:space="preserve"> </w:t>
      </w:r>
    </w:p>
    <w:p w:rsidR="00417FF1" w:rsidRDefault="00417FF1" w:rsidP="00C60304">
      <w:pPr>
        <w:jc w:val="both"/>
        <w:rPr>
          <w:rFonts w:ascii="Palatino Linotype" w:hAnsi="Palatino Linotype"/>
          <w:i/>
          <w:sz w:val="20"/>
          <w:szCs w:val="20"/>
          <w:lang w:val="es-MX"/>
        </w:rPr>
      </w:pPr>
    </w:p>
    <w:p w:rsidR="005877AD" w:rsidRDefault="00750566" w:rsidP="00C60304">
      <w:pPr>
        <w:jc w:val="both"/>
        <w:rPr>
          <w:rFonts w:ascii="Palatino Linotype" w:hAnsi="Palatino Linotype"/>
          <w:i/>
          <w:sz w:val="20"/>
          <w:szCs w:val="20"/>
          <w:lang w:val="es-MX"/>
        </w:rPr>
      </w:pPr>
      <w:r>
        <w:rPr>
          <w:rFonts w:ascii="Palatino Linotype" w:hAnsi="Palatino Linotype"/>
          <w:i/>
          <w:sz w:val="20"/>
          <w:szCs w:val="20"/>
          <w:lang w:val="es-MX"/>
        </w:rPr>
        <w:t>Asimismo, c</w:t>
      </w:r>
      <w:r w:rsidR="00C66501">
        <w:rPr>
          <w:rFonts w:ascii="Palatino Linotype" w:hAnsi="Palatino Linotype"/>
          <w:i/>
          <w:sz w:val="20"/>
          <w:szCs w:val="20"/>
          <w:lang w:val="es-MX"/>
        </w:rPr>
        <w:t>onforme lo establece la señalada Resolución del CPCEPBA, l</w:t>
      </w:r>
      <w:r w:rsidR="005C61D0">
        <w:rPr>
          <w:rFonts w:ascii="Palatino Linotype" w:hAnsi="Palatino Linotype"/>
          <w:i/>
          <w:sz w:val="20"/>
          <w:szCs w:val="20"/>
          <w:lang w:val="es-MX"/>
        </w:rPr>
        <w:t>os importes de los activos</w:t>
      </w:r>
      <w:r w:rsidR="007B01D1">
        <w:rPr>
          <w:rFonts w:ascii="Palatino Linotype" w:hAnsi="Palatino Linotype"/>
          <w:i/>
          <w:sz w:val="20"/>
          <w:szCs w:val="20"/>
          <w:lang w:val="es-MX"/>
        </w:rPr>
        <w:t xml:space="preserve"> </w:t>
      </w:r>
      <w:r w:rsidR="005C61D0">
        <w:rPr>
          <w:rFonts w:ascii="Palatino Linotype" w:hAnsi="Palatino Linotype"/>
          <w:i/>
          <w:sz w:val="20"/>
          <w:szCs w:val="20"/>
          <w:lang w:val="es-MX"/>
        </w:rPr>
        <w:t xml:space="preserve">remedidos por aplicación de la RT Nº 48 a los efectos de su </w:t>
      </w:r>
      <w:proofErr w:type="spellStart"/>
      <w:r w:rsidR="005C61D0">
        <w:rPr>
          <w:rFonts w:ascii="Palatino Linotype" w:hAnsi="Palatino Linotype"/>
          <w:i/>
          <w:sz w:val="20"/>
          <w:szCs w:val="20"/>
          <w:lang w:val="es-MX"/>
        </w:rPr>
        <w:t>reexpresión</w:t>
      </w:r>
      <w:proofErr w:type="spellEnd"/>
      <w:r w:rsidR="005C61D0">
        <w:rPr>
          <w:rFonts w:ascii="Palatino Linotype" w:hAnsi="Palatino Linotype"/>
          <w:i/>
          <w:sz w:val="20"/>
          <w:szCs w:val="20"/>
          <w:lang w:val="es-MX"/>
        </w:rPr>
        <w:t xml:space="preserve"> han sido considerados expresados en moneda de poder adquisitivo del momento al que se refiere </w:t>
      </w:r>
      <w:r w:rsidR="008C1AB3">
        <w:rPr>
          <w:rFonts w:ascii="Palatino Linotype" w:hAnsi="Palatino Linotype"/>
          <w:i/>
          <w:sz w:val="20"/>
          <w:szCs w:val="20"/>
          <w:lang w:val="es-MX"/>
        </w:rPr>
        <w:t>dicha</w:t>
      </w:r>
      <w:r w:rsidR="005C61D0">
        <w:rPr>
          <w:rFonts w:ascii="Palatino Linotype" w:hAnsi="Palatino Linotype"/>
          <w:i/>
          <w:sz w:val="20"/>
          <w:szCs w:val="20"/>
          <w:lang w:val="es-MX"/>
        </w:rPr>
        <w:t xml:space="preserve"> remedición</w:t>
      </w:r>
      <w:r w:rsidR="007B01D1">
        <w:rPr>
          <w:rFonts w:ascii="Palatino Linotype" w:hAnsi="Palatino Linotype"/>
          <w:i/>
          <w:sz w:val="20"/>
          <w:szCs w:val="20"/>
          <w:lang w:val="es-MX"/>
        </w:rPr>
        <w:t xml:space="preserve">, consecuentemente, los coeficientes de ajuste se aplicaron sobre </w:t>
      </w:r>
      <w:r w:rsidR="005C61D0">
        <w:rPr>
          <w:rFonts w:ascii="Palatino Linotype" w:hAnsi="Palatino Linotype"/>
          <w:i/>
          <w:sz w:val="20"/>
          <w:szCs w:val="20"/>
          <w:lang w:val="es-MX"/>
        </w:rPr>
        <w:t xml:space="preserve">los importes resultantes de </w:t>
      </w:r>
      <w:r w:rsidR="006E77FB">
        <w:rPr>
          <w:rFonts w:ascii="Palatino Linotype" w:hAnsi="Palatino Linotype"/>
          <w:i/>
          <w:sz w:val="20"/>
          <w:szCs w:val="20"/>
          <w:lang w:val="es-MX"/>
        </w:rPr>
        <w:t>misma</w:t>
      </w:r>
      <w:r w:rsidR="005C61D0">
        <w:rPr>
          <w:rFonts w:ascii="Palatino Linotype" w:hAnsi="Palatino Linotype"/>
          <w:i/>
          <w:sz w:val="20"/>
          <w:szCs w:val="20"/>
          <w:lang w:val="es-MX"/>
        </w:rPr>
        <w:t>.</w:t>
      </w:r>
      <w:r w:rsidR="007B01D1">
        <w:rPr>
          <w:rFonts w:ascii="Palatino Linotype" w:hAnsi="Palatino Linotype"/>
          <w:i/>
          <w:sz w:val="20"/>
          <w:szCs w:val="20"/>
          <w:lang w:val="es-MX"/>
        </w:rPr>
        <w:t xml:space="preserve"> </w:t>
      </w:r>
    </w:p>
    <w:p w:rsidR="005877AD" w:rsidRDefault="005877AD" w:rsidP="00C60304">
      <w:pPr>
        <w:jc w:val="both"/>
        <w:rPr>
          <w:rFonts w:ascii="Palatino Linotype" w:hAnsi="Palatino Linotype"/>
          <w:i/>
          <w:sz w:val="20"/>
          <w:szCs w:val="20"/>
          <w:lang w:val="es-MX"/>
        </w:rPr>
      </w:pPr>
    </w:p>
    <w:p w:rsidR="006E77FB" w:rsidRPr="005877AD" w:rsidRDefault="00417FF1" w:rsidP="00C60304">
      <w:pPr>
        <w:jc w:val="both"/>
        <w:rPr>
          <w:rFonts w:ascii="Palatino Linotype" w:hAnsi="Palatino Linotype"/>
          <w:b/>
          <w:i/>
          <w:sz w:val="20"/>
          <w:szCs w:val="20"/>
          <w:lang w:val="es-MX"/>
        </w:rPr>
      </w:pPr>
      <w:r>
        <w:rPr>
          <w:rFonts w:ascii="Palatino Linotype" w:hAnsi="Palatino Linotype"/>
          <w:b/>
          <w:i/>
          <w:sz w:val="20"/>
          <w:szCs w:val="20"/>
          <w:lang w:val="es-MX"/>
        </w:rPr>
        <w:t>L</w:t>
      </w:r>
      <w:r w:rsidR="007B01D1" w:rsidRPr="008C1AB3">
        <w:rPr>
          <w:rFonts w:ascii="Palatino Linotype" w:hAnsi="Palatino Linotype"/>
          <w:b/>
          <w:i/>
          <w:sz w:val="20"/>
          <w:szCs w:val="20"/>
          <w:lang w:val="es-MX"/>
        </w:rPr>
        <w:t>as partidas</w:t>
      </w:r>
      <w:r w:rsidR="00C41C1E" w:rsidRPr="008C1AB3">
        <w:rPr>
          <w:rFonts w:ascii="Palatino Linotype" w:hAnsi="Palatino Linotype"/>
          <w:b/>
          <w:i/>
          <w:sz w:val="20"/>
          <w:szCs w:val="20"/>
          <w:lang w:val="es-MX"/>
        </w:rPr>
        <w:t xml:space="preserve"> </w:t>
      </w:r>
      <w:r w:rsidR="008C1AB3">
        <w:rPr>
          <w:rFonts w:ascii="Palatino Linotype" w:hAnsi="Palatino Linotype"/>
          <w:b/>
          <w:i/>
          <w:sz w:val="20"/>
          <w:szCs w:val="20"/>
          <w:lang w:val="es-MX"/>
        </w:rPr>
        <w:t xml:space="preserve">con fecha de origen anterior al último proceso de </w:t>
      </w:r>
      <w:proofErr w:type="spellStart"/>
      <w:r w:rsidR="008C1AB3">
        <w:rPr>
          <w:rFonts w:ascii="Palatino Linotype" w:hAnsi="Palatino Linotype"/>
          <w:b/>
          <w:i/>
          <w:sz w:val="20"/>
          <w:szCs w:val="20"/>
          <w:lang w:val="es-MX"/>
        </w:rPr>
        <w:t>reexpresión</w:t>
      </w:r>
      <w:proofErr w:type="spellEnd"/>
      <w:r w:rsidR="008C1AB3">
        <w:rPr>
          <w:rFonts w:ascii="Palatino Linotype" w:hAnsi="Palatino Linotype"/>
          <w:b/>
          <w:i/>
          <w:sz w:val="20"/>
          <w:szCs w:val="20"/>
          <w:lang w:val="es-MX"/>
        </w:rPr>
        <w:t xml:space="preserve">, el cual se practicó al … de …. de 20…, </w:t>
      </w:r>
      <w:r w:rsidR="0051544C">
        <w:rPr>
          <w:rFonts w:ascii="Palatino Linotype" w:hAnsi="Palatino Linotype"/>
          <w:b/>
          <w:i/>
          <w:sz w:val="20"/>
          <w:szCs w:val="20"/>
          <w:lang w:val="es-MX"/>
        </w:rPr>
        <w:t>y que continuaban expresadas en moneda de esa fecha fueron</w:t>
      </w:r>
      <w:r w:rsidR="008C1AB3">
        <w:rPr>
          <w:rFonts w:ascii="Palatino Linotype" w:hAnsi="Palatino Linotype"/>
          <w:b/>
          <w:i/>
          <w:sz w:val="20"/>
          <w:szCs w:val="20"/>
          <w:lang w:val="es-MX"/>
        </w:rPr>
        <w:t xml:space="preserve"> ajustadas tomando </w:t>
      </w:r>
      <w:r w:rsidR="0051544C">
        <w:rPr>
          <w:rFonts w:ascii="Palatino Linotype" w:hAnsi="Palatino Linotype"/>
          <w:b/>
          <w:i/>
          <w:sz w:val="20"/>
          <w:szCs w:val="20"/>
          <w:lang w:val="es-MX"/>
        </w:rPr>
        <w:t>en cuenta esa</w:t>
      </w:r>
      <w:r w:rsidR="008C1AB3">
        <w:rPr>
          <w:rFonts w:ascii="Palatino Linotype" w:hAnsi="Palatino Linotype"/>
          <w:b/>
          <w:i/>
          <w:sz w:val="20"/>
          <w:szCs w:val="20"/>
          <w:lang w:val="es-MX"/>
        </w:rPr>
        <w:t xml:space="preserve"> base, metodología expresamente prevista en la normat</w:t>
      </w:r>
      <w:r w:rsidR="0051544C">
        <w:rPr>
          <w:rFonts w:ascii="Palatino Linotype" w:hAnsi="Palatino Linotype"/>
          <w:b/>
          <w:i/>
          <w:sz w:val="20"/>
          <w:szCs w:val="20"/>
          <w:lang w:val="es-MX"/>
        </w:rPr>
        <w:t>iva</w:t>
      </w:r>
      <w:r w:rsidR="005877AD">
        <w:rPr>
          <w:rFonts w:ascii="Palatino Linotype" w:hAnsi="Palatino Linotype"/>
          <w:b/>
          <w:i/>
          <w:sz w:val="20"/>
          <w:szCs w:val="20"/>
          <w:lang w:val="es-MX"/>
        </w:rPr>
        <w:t>,</w:t>
      </w:r>
      <w:r w:rsidR="0051544C">
        <w:rPr>
          <w:rFonts w:ascii="Palatino Linotype" w:hAnsi="Palatino Linotype"/>
          <w:b/>
          <w:i/>
          <w:sz w:val="20"/>
          <w:szCs w:val="20"/>
          <w:lang w:val="es-MX"/>
        </w:rPr>
        <w:t xml:space="preserve"> cuya aplicación implica que </w:t>
      </w:r>
      <w:r w:rsidR="005877AD">
        <w:rPr>
          <w:rFonts w:ascii="Palatino Linotype" w:hAnsi="Palatino Linotype"/>
          <w:b/>
          <w:i/>
          <w:sz w:val="20"/>
          <w:szCs w:val="20"/>
          <w:lang w:val="es-MX"/>
        </w:rPr>
        <w:t xml:space="preserve">se mantienen sin computar </w:t>
      </w:r>
      <w:r w:rsidR="0051544C" w:rsidRPr="005877AD">
        <w:rPr>
          <w:rFonts w:ascii="Palatino Linotype" w:hAnsi="Palatino Linotype"/>
          <w:b/>
          <w:i/>
          <w:sz w:val="20"/>
          <w:szCs w:val="20"/>
          <w:lang w:val="es-MX"/>
        </w:rPr>
        <w:t xml:space="preserve">los efectos del cambio del poder adquisitivo de la moneda acumulado </w:t>
      </w:r>
      <w:r w:rsidR="005877AD" w:rsidRPr="005877AD">
        <w:rPr>
          <w:rFonts w:ascii="Palatino Linotype" w:hAnsi="Palatino Linotype"/>
          <w:b/>
          <w:i/>
          <w:sz w:val="20"/>
          <w:szCs w:val="20"/>
          <w:lang w:val="es-MX"/>
        </w:rPr>
        <w:t xml:space="preserve">para el período en el que las normas contables profesionales vigentes a aquella fecha </w:t>
      </w:r>
      <w:r w:rsidR="005877AD">
        <w:rPr>
          <w:rFonts w:ascii="Palatino Linotype" w:hAnsi="Palatino Linotype"/>
          <w:b/>
          <w:i/>
          <w:sz w:val="20"/>
          <w:szCs w:val="20"/>
          <w:lang w:val="es-MX"/>
        </w:rPr>
        <w:t>así lo establecían (</w:t>
      </w:r>
      <w:r w:rsidR="003C71B3">
        <w:rPr>
          <w:rFonts w:ascii="Palatino Linotype" w:hAnsi="Palatino Linotype"/>
          <w:b/>
          <w:i/>
          <w:sz w:val="20"/>
          <w:szCs w:val="20"/>
          <w:lang w:val="es-MX"/>
        </w:rPr>
        <w:t>dichas normas disponían</w:t>
      </w:r>
      <w:r w:rsidR="0085781C">
        <w:rPr>
          <w:rFonts w:ascii="Palatino Linotype" w:hAnsi="Palatino Linotype"/>
          <w:b/>
          <w:i/>
          <w:sz w:val="20"/>
          <w:szCs w:val="20"/>
          <w:lang w:val="es-MX"/>
        </w:rPr>
        <w:t xml:space="preserve"> el no ajuste de las cifras por el período definido como “período de estabilidad”, criterio modificado en las normas en vigor en la actualidad).</w:t>
      </w:r>
      <w:r w:rsidR="00111B99" w:rsidRPr="00111B99">
        <w:rPr>
          <w:rFonts w:ascii="Palatino Linotype" w:hAnsi="Palatino Linotype"/>
          <w:b/>
          <w:color w:val="FF0000"/>
          <w:sz w:val="28"/>
          <w:szCs w:val="28"/>
          <w:vertAlign w:val="superscript"/>
        </w:rPr>
        <w:t xml:space="preserve"> </w:t>
      </w:r>
      <w:r w:rsidR="00111B99" w:rsidRPr="00C775E2">
        <w:rPr>
          <w:rFonts w:ascii="Palatino Linotype" w:hAnsi="Palatino Linotype"/>
          <w:b/>
          <w:color w:val="FF0000"/>
          <w:sz w:val="28"/>
          <w:szCs w:val="28"/>
          <w:vertAlign w:val="superscript"/>
        </w:rPr>
        <w:t>1</w:t>
      </w:r>
    </w:p>
    <w:p w:rsidR="008F3848" w:rsidRDefault="008F3848" w:rsidP="00C60304">
      <w:pPr>
        <w:jc w:val="both"/>
        <w:rPr>
          <w:rFonts w:ascii="Palatino Linotype" w:hAnsi="Palatino Linotype"/>
          <w:i/>
          <w:sz w:val="20"/>
          <w:szCs w:val="20"/>
          <w:lang w:val="es-MX"/>
        </w:rPr>
      </w:pPr>
    </w:p>
    <w:p w:rsidR="00C52514" w:rsidRDefault="00FC2E56" w:rsidP="00C60304">
      <w:pPr>
        <w:jc w:val="both"/>
        <w:rPr>
          <w:rFonts w:ascii="Palatino Linotype" w:hAnsi="Palatino Linotype"/>
          <w:i/>
          <w:sz w:val="20"/>
          <w:szCs w:val="20"/>
          <w:lang w:val="es-MX"/>
        </w:rPr>
      </w:pPr>
      <w:r>
        <w:rPr>
          <w:rFonts w:ascii="Palatino Linotype" w:hAnsi="Palatino Linotype"/>
          <w:i/>
          <w:sz w:val="20"/>
          <w:szCs w:val="20"/>
          <w:lang w:val="es-MX"/>
        </w:rPr>
        <w:t xml:space="preserve">En la </w:t>
      </w:r>
      <w:proofErr w:type="spellStart"/>
      <w:r>
        <w:rPr>
          <w:rFonts w:ascii="Palatino Linotype" w:hAnsi="Palatino Linotype"/>
          <w:i/>
          <w:sz w:val="20"/>
          <w:szCs w:val="20"/>
          <w:lang w:val="es-MX"/>
        </w:rPr>
        <w:t>reexpresión</w:t>
      </w:r>
      <w:proofErr w:type="spellEnd"/>
      <w:r>
        <w:rPr>
          <w:rFonts w:ascii="Palatino Linotype" w:hAnsi="Palatino Linotype"/>
          <w:i/>
          <w:sz w:val="20"/>
          <w:szCs w:val="20"/>
          <w:lang w:val="es-MX"/>
        </w:rPr>
        <w:t xml:space="preserve"> de las cifras de los presentes estados contables se ha optado por aplicar</w:t>
      </w:r>
      <w:r w:rsidRPr="00FC2E56">
        <w:rPr>
          <w:rFonts w:ascii="Palatino Linotype" w:hAnsi="Palatino Linotype"/>
          <w:b/>
          <w:i/>
          <w:sz w:val="20"/>
          <w:szCs w:val="20"/>
          <w:lang w:val="es-MX"/>
        </w:rPr>
        <w:t>, además de la mencionada en el párrafo precedente,</w:t>
      </w:r>
      <w:r w:rsidR="00111B99" w:rsidRPr="00111B99">
        <w:rPr>
          <w:rFonts w:ascii="Palatino Linotype" w:hAnsi="Palatino Linotype"/>
          <w:b/>
          <w:color w:val="FF0000"/>
          <w:sz w:val="28"/>
          <w:szCs w:val="28"/>
          <w:vertAlign w:val="superscript"/>
        </w:rPr>
        <w:t xml:space="preserve"> </w:t>
      </w:r>
      <w:r w:rsidR="00111B99" w:rsidRPr="00C775E2">
        <w:rPr>
          <w:rFonts w:ascii="Palatino Linotype" w:hAnsi="Palatino Linotype"/>
          <w:b/>
          <w:color w:val="FF0000"/>
          <w:sz w:val="28"/>
          <w:szCs w:val="28"/>
          <w:vertAlign w:val="superscript"/>
        </w:rPr>
        <w:t>1</w:t>
      </w:r>
      <w:r>
        <w:rPr>
          <w:rFonts w:ascii="Palatino Linotype" w:hAnsi="Palatino Linotype"/>
          <w:i/>
          <w:sz w:val="20"/>
          <w:szCs w:val="20"/>
          <w:lang w:val="es-MX"/>
        </w:rPr>
        <w:t xml:space="preserve"> las simplificaciones que se mencionan a continuación </w:t>
      </w:r>
      <w:r w:rsidR="003C71B3">
        <w:rPr>
          <w:rFonts w:ascii="Palatino Linotype" w:hAnsi="Palatino Linotype"/>
          <w:i/>
          <w:sz w:val="20"/>
          <w:szCs w:val="20"/>
          <w:lang w:val="es-MX"/>
        </w:rPr>
        <w:t>indicando también</w:t>
      </w:r>
      <w:r w:rsidR="00795816">
        <w:rPr>
          <w:rFonts w:ascii="Palatino Linotype" w:hAnsi="Palatino Linotype"/>
          <w:i/>
          <w:sz w:val="20"/>
          <w:szCs w:val="20"/>
          <w:lang w:val="es-MX"/>
        </w:rPr>
        <w:t xml:space="preserve"> las limitaciones que</w:t>
      </w:r>
      <w:r w:rsidR="00EB2197">
        <w:rPr>
          <w:rFonts w:ascii="Palatino Linotype" w:hAnsi="Palatino Linotype"/>
          <w:i/>
          <w:sz w:val="20"/>
          <w:szCs w:val="20"/>
          <w:lang w:val="es-MX"/>
        </w:rPr>
        <w:t xml:space="preserve"> esa utilización provoca</w:t>
      </w:r>
      <w:r w:rsidR="00795816">
        <w:rPr>
          <w:rFonts w:ascii="Palatino Linotype" w:hAnsi="Palatino Linotype"/>
          <w:i/>
          <w:sz w:val="20"/>
          <w:szCs w:val="20"/>
          <w:lang w:val="es-MX"/>
        </w:rPr>
        <w:t xml:space="preserve"> en la información </w:t>
      </w:r>
      <w:r>
        <w:rPr>
          <w:rFonts w:ascii="Palatino Linotype" w:hAnsi="Palatino Linotype"/>
          <w:i/>
          <w:sz w:val="20"/>
          <w:szCs w:val="20"/>
          <w:lang w:val="es-MX"/>
        </w:rPr>
        <w:t>contable</w:t>
      </w:r>
      <w:r w:rsidR="007A3A8E">
        <w:rPr>
          <w:rFonts w:ascii="Palatino Linotype" w:hAnsi="Palatino Linotype"/>
          <w:i/>
          <w:sz w:val="20"/>
          <w:szCs w:val="20"/>
          <w:lang w:val="es-MX"/>
        </w:rPr>
        <w:t>:</w:t>
      </w:r>
    </w:p>
    <w:p w:rsidR="00795816" w:rsidRDefault="00795816" w:rsidP="00C60304">
      <w:pPr>
        <w:jc w:val="both"/>
        <w:rPr>
          <w:rFonts w:ascii="Palatino Linotype" w:hAnsi="Palatino Linotype"/>
          <w:i/>
          <w:sz w:val="20"/>
          <w:szCs w:val="20"/>
          <w:lang w:val="es-MX"/>
        </w:rPr>
      </w:pPr>
    </w:p>
    <w:p w:rsidR="00795816" w:rsidRDefault="00362C4B" w:rsidP="00C60304">
      <w:pPr>
        <w:jc w:val="both"/>
        <w:rPr>
          <w:rFonts w:ascii="Palatino Linotype" w:hAnsi="Palatino Linotype"/>
          <w:i/>
          <w:sz w:val="20"/>
          <w:szCs w:val="20"/>
          <w:lang w:val="es-MX"/>
        </w:rPr>
      </w:pPr>
      <w:r w:rsidRPr="004F588A">
        <w:rPr>
          <w:rFonts w:ascii="Palatino Linotype" w:hAnsi="Palatino Linotype"/>
          <w:b/>
          <w:i/>
          <w:sz w:val="20"/>
          <w:szCs w:val="20"/>
          <w:highlight w:val="cyan"/>
          <w:lang w:val="es-MX"/>
        </w:rPr>
        <w:t>[De las siguientes opciones con sus correspondientes limitaciones incluir solo las utilizadas por el ente]</w:t>
      </w:r>
    </w:p>
    <w:p w:rsidR="008F3848" w:rsidRPr="003240CE" w:rsidRDefault="008F3848" w:rsidP="00C60304">
      <w:pPr>
        <w:jc w:val="both"/>
        <w:rPr>
          <w:rFonts w:ascii="Palatino Linotype" w:hAnsi="Palatino Linotype"/>
          <w:i/>
          <w:sz w:val="20"/>
          <w:szCs w:val="20"/>
          <w:lang w:val="es-MX"/>
        </w:rPr>
      </w:pPr>
    </w:p>
    <w:p w:rsidR="00AD2B34" w:rsidRDefault="009926B7" w:rsidP="00B61687">
      <w:pPr>
        <w:pStyle w:val="Prrafodelista"/>
        <w:numPr>
          <w:ilvl w:val="0"/>
          <w:numId w:val="8"/>
        </w:numPr>
        <w:ind w:left="284" w:hanging="284"/>
        <w:jc w:val="both"/>
        <w:rPr>
          <w:rFonts w:ascii="Palatino Linotype" w:hAnsi="Palatino Linotype"/>
          <w:i/>
          <w:sz w:val="20"/>
          <w:szCs w:val="20"/>
          <w:lang w:val="es-MX"/>
        </w:rPr>
      </w:pPr>
      <w:r>
        <w:rPr>
          <w:rFonts w:ascii="Palatino Linotype" w:hAnsi="Palatino Linotype"/>
          <w:i/>
          <w:sz w:val="20"/>
          <w:szCs w:val="20"/>
        </w:rPr>
        <w:t xml:space="preserve">Se aplicó </w:t>
      </w:r>
      <w:r w:rsidRPr="009926B7">
        <w:rPr>
          <w:rFonts w:ascii="Palatino Linotype" w:hAnsi="Palatino Linotype"/>
          <w:i/>
          <w:sz w:val="20"/>
          <w:szCs w:val="20"/>
        </w:rPr>
        <w:t>el procedimiento de ajuste por inflación comenzando por la determinación del patrimonio neto al inicio del ejercicio actual, en moneda del inicio</w:t>
      </w:r>
      <w:r w:rsidR="00EE004F">
        <w:rPr>
          <w:rFonts w:ascii="Palatino Linotype" w:hAnsi="Palatino Linotype"/>
          <w:i/>
          <w:sz w:val="20"/>
          <w:szCs w:val="20"/>
          <w:lang w:val="es-MX"/>
        </w:rPr>
        <w:t>.</w:t>
      </w:r>
      <w:r w:rsidR="00B61687">
        <w:rPr>
          <w:rFonts w:ascii="Palatino Linotype" w:hAnsi="Palatino Linotype"/>
          <w:i/>
          <w:sz w:val="20"/>
          <w:szCs w:val="20"/>
          <w:lang w:val="es-MX"/>
        </w:rPr>
        <w:t xml:space="preserve"> Por lo tanto, </w:t>
      </w:r>
      <w:r>
        <w:rPr>
          <w:rFonts w:ascii="Palatino Linotype" w:hAnsi="Palatino Linotype"/>
          <w:i/>
          <w:sz w:val="20"/>
          <w:szCs w:val="20"/>
          <w:lang w:val="es-MX"/>
        </w:rPr>
        <w:t xml:space="preserve">al no </w:t>
      </w:r>
      <w:r w:rsidRPr="009926B7">
        <w:rPr>
          <w:rFonts w:ascii="Palatino Linotype" w:hAnsi="Palatino Linotype"/>
          <w:i/>
          <w:sz w:val="20"/>
          <w:szCs w:val="20"/>
        </w:rPr>
        <w:t>determinarse el patrimonio neto ajustado al inicio del ejercicio comparativo,</w:t>
      </w:r>
      <w:r>
        <w:t xml:space="preserve"> </w:t>
      </w:r>
      <w:r w:rsidR="00B61687">
        <w:rPr>
          <w:rFonts w:ascii="Palatino Linotype" w:hAnsi="Palatino Linotype"/>
          <w:i/>
          <w:sz w:val="20"/>
          <w:szCs w:val="20"/>
          <w:lang w:val="es-MX"/>
        </w:rPr>
        <w:t>no se presenta la</w:t>
      </w:r>
      <w:r w:rsidR="00AD2B34" w:rsidRPr="00B61687">
        <w:rPr>
          <w:rFonts w:ascii="Palatino Linotype" w:hAnsi="Palatino Linotype"/>
          <w:i/>
          <w:sz w:val="20"/>
          <w:szCs w:val="20"/>
          <w:lang w:val="es-MX"/>
        </w:rPr>
        <w:t xml:space="preserve"> información comparativa correspondiente al estado de evolución del patrimonio neto, estado de resultados y estado de flujo de efectivo.</w:t>
      </w:r>
      <w:r w:rsidR="00204E8F" w:rsidRPr="00B61687">
        <w:rPr>
          <w:rFonts w:ascii="Palatino Linotype" w:hAnsi="Palatino Linotype"/>
          <w:i/>
          <w:sz w:val="20"/>
          <w:szCs w:val="20"/>
          <w:lang w:val="es-MX"/>
        </w:rPr>
        <w:t xml:space="preserve"> La falta de información comparativa limita la información disponible en los estados contables para analizar la evolución de las diferentes magnitudes y los ratios habitualmente utilizados en el análisis de los estados contables.</w:t>
      </w:r>
    </w:p>
    <w:p w:rsidR="00934F4F" w:rsidRDefault="00934F4F" w:rsidP="00934F4F">
      <w:pPr>
        <w:pStyle w:val="Prrafodelista"/>
        <w:ind w:left="284"/>
        <w:jc w:val="both"/>
        <w:rPr>
          <w:rFonts w:ascii="Palatino Linotype" w:hAnsi="Palatino Linotype"/>
          <w:i/>
          <w:sz w:val="20"/>
          <w:szCs w:val="20"/>
          <w:lang w:val="es-MX"/>
        </w:rPr>
      </w:pPr>
    </w:p>
    <w:p w:rsidR="00E80D17" w:rsidRDefault="00D24FC5" w:rsidP="00934F4F">
      <w:pPr>
        <w:pStyle w:val="Prrafodelista"/>
        <w:numPr>
          <w:ilvl w:val="0"/>
          <w:numId w:val="8"/>
        </w:numPr>
        <w:ind w:left="284" w:hanging="284"/>
        <w:jc w:val="both"/>
        <w:rPr>
          <w:rFonts w:ascii="Palatino Linotype" w:hAnsi="Palatino Linotype"/>
          <w:i/>
          <w:sz w:val="20"/>
          <w:szCs w:val="20"/>
          <w:lang w:val="es-MX"/>
        </w:rPr>
      </w:pPr>
      <w:r w:rsidRPr="00934F4F">
        <w:rPr>
          <w:rFonts w:ascii="Palatino Linotype" w:hAnsi="Palatino Linotype"/>
          <w:i/>
          <w:sz w:val="20"/>
          <w:szCs w:val="20"/>
          <w:lang w:val="es-MX"/>
        </w:rPr>
        <w:t xml:space="preserve">La </w:t>
      </w:r>
      <w:proofErr w:type="spellStart"/>
      <w:r w:rsidRPr="00934F4F">
        <w:rPr>
          <w:rFonts w:ascii="Palatino Linotype" w:hAnsi="Palatino Linotype"/>
          <w:i/>
          <w:sz w:val="20"/>
          <w:szCs w:val="20"/>
          <w:lang w:val="es-MX"/>
        </w:rPr>
        <w:t>reexpresión</w:t>
      </w:r>
      <w:proofErr w:type="spellEnd"/>
      <w:r w:rsidRPr="00934F4F">
        <w:rPr>
          <w:rFonts w:ascii="Palatino Linotype" w:hAnsi="Palatino Linotype"/>
          <w:i/>
          <w:sz w:val="20"/>
          <w:szCs w:val="20"/>
          <w:lang w:val="es-MX"/>
        </w:rPr>
        <w:t xml:space="preserve"> del Estado de Resultados se efectúo mediante la inclusión de una sola partida cuyo importe se determinó por diferencia entre el resultado del período </w:t>
      </w:r>
      <w:proofErr w:type="spellStart"/>
      <w:r w:rsidRPr="00934F4F">
        <w:rPr>
          <w:rFonts w:ascii="Palatino Linotype" w:hAnsi="Palatino Linotype"/>
          <w:i/>
          <w:sz w:val="20"/>
          <w:szCs w:val="20"/>
          <w:lang w:val="es-MX"/>
        </w:rPr>
        <w:t>reexpresado</w:t>
      </w:r>
      <w:proofErr w:type="spellEnd"/>
      <w:r w:rsidRPr="00934F4F">
        <w:rPr>
          <w:rFonts w:ascii="Palatino Linotype" w:hAnsi="Palatino Linotype"/>
          <w:i/>
          <w:sz w:val="20"/>
          <w:szCs w:val="20"/>
          <w:lang w:val="es-MX"/>
        </w:rPr>
        <w:t xml:space="preserve"> en moneda de cierre</w:t>
      </w:r>
      <w:r w:rsidR="00536EB7" w:rsidRPr="00934F4F">
        <w:rPr>
          <w:rFonts w:ascii="Palatino Linotype" w:hAnsi="Palatino Linotype"/>
          <w:i/>
          <w:sz w:val="20"/>
          <w:szCs w:val="20"/>
          <w:lang w:val="es-MX"/>
        </w:rPr>
        <w:t xml:space="preserve"> y dicho resultado surgido del Estado de R</w:t>
      </w:r>
      <w:r w:rsidRPr="00934F4F">
        <w:rPr>
          <w:rFonts w:ascii="Palatino Linotype" w:hAnsi="Palatino Linotype"/>
          <w:i/>
          <w:sz w:val="20"/>
          <w:szCs w:val="20"/>
          <w:lang w:val="es-MX"/>
        </w:rPr>
        <w:t xml:space="preserve">esultados sin </w:t>
      </w:r>
      <w:proofErr w:type="spellStart"/>
      <w:r w:rsidRPr="00934F4F">
        <w:rPr>
          <w:rFonts w:ascii="Palatino Linotype" w:hAnsi="Palatino Linotype"/>
          <w:i/>
          <w:sz w:val="20"/>
          <w:szCs w:val="20"/>
          <w:lang w:val="es-MX"/>
        </w:rPr>
        <w:t>reexpresar</w:t>
      </w:r>
      <w:proofErr w:type="spellEnd"/>
      <w:r w:rsidRPr="00934F4F">
        <w:rPr>
          <w:rFonts w:ascii="Palatino Linotype" w:hAnsi="Palatino Linotype"/>
          <w:i/>
          <w:sz w:val="20"/>
          <w:szCs w:val="20"/>
          <w:lang w:val="es-MX"/>
        </w:rPr>
        <w:t>; denominándose</w:t>
      </w:r>
      <w:r w:rsidR="00536EB7" w:rsidRPr="00934F4F">
        <w:rPr>
          <w:rFonts w:ascii="Palatino Linotype" w:hAnsi="Palatino Linotype"/>
          <w:i/>
          <w:sz w:val="20"/>
          <w:szCs w:val="20"/>
          <w:lang w:val="es-MX"/>
        </w:rPr>
        <w:t xml:space="preserve"> la partida “Ajuste Global del R</w:t>
      </w:r>
      <w:r w:rsidRPr="00934F4F">
        <w:rPr>
          <w:rFonts w:ascii="Palatino Linotype" w:hAnsi="Palatino Linotype"/>
          <w:i/>
          <w:sz w:val="20"/>
          <w:szCs w:val="20"/>
          <w:lang w:val="es-MX"/>
        </w:rPr>
        <w:t>esul</w:t>
      </w:r>
      <w:r w:rsidR="00536EB7" w:rsidRPr="00934F4F">
        <w:rPr>
          <w:rFonts w:ascii="Palatino Linotype" w:hAnsi="Palatino Linotype"/>
          <w:i/>
          <w:sz w:val="20"/>
          <w:szCs w:val="20"/>
          <w:lang w:val="es-MX"/>
        </w:rPr>
        <w:t>tado del E</w:t>
      </w:r>
      <w:r w:rsidRPr="00934F4F">
        <w:rPr>
          <w:rFonts w:ascii="Palatino Linotype" w:hAnsi="Palatino Linotype"/>
          <w:i/>
          <w:sz w:val="20"/>
          <w:szCs w:val="20"/>
          <w:lang w:val="es-MX"/>
        </w:rPr>
        <w:t>jercicio”.</w:t>
      </w:r>
      <w:r w:rsidR="00451A1B" w:rsidRPr="00934F4F">
        <w:rPr>
          <w:rFonts w:ascii="Palatino Linotype" w:hAnsi="Palatino Linotype"/>
          <w:i/>
          <w:sz w:val="20"/>
          <w:szCs w:val="20"/>
          <w:lang w:val="es-MX"/>
        </w:rPr>
        <w:t xml:space="preserve"> </w:t>
      </w:r>
      <w:r w:rsidR="00510794" w:rsidRPr="004F588A">
        <w:rPr>
          <w:rFonts w:ascii="Palatino Linotype" w:hAnsi="Palatino Linotype"/>
          <w:b/>
          <w:i/>
          <w:color w:val="FF0000"/>
          <w:sz w:val="28"/>
          <w:szCs w:val="28"/>
          <w:vertAlign w:val="superscript"/>
          <w:lang w:val="es-MX"/>
        </w:rPr>
        <w:t>2</w:t>
      </w:r>
      <w:r w:rsidR="00510794">
        <w:rPr>
          <w:rFonts w:ascii="Palatino Linotype" w:hAnsi="Palatino Linotype"/>
          <w:b/>
          <w:i/>
          <w:color w:val="FF0000"/>
          <w:sz w:val="28"/>
          <w:szCs w:val="28"/>
          <w:vertAlign w:val="superscript"/>
          <w:lang w:val="es-MX"/>
        </w:rPr>
        <w:t xml:space="preserve"> </w:t>
      </w:r>
      <w:r w:rsidR="008E5C58">
        <w:rPr>
          <w:rFonts w:ascii="Palatino Linotype" w:hAnsi="Palatino Linotype"/>
          <w:i/>
          <w:sz w:val="20"/>
          <w:szCs w:val="20"/>
          <w:lang w:val="es-MX"/>
        </w:rPr>
        <w:t xml:space="preserve">Atento a la  aplicación del ajuste global </w:t>
      </w:r>
      <w:r w:rsidR="00744120">
        <w:rPr>
          <w:rFonts w:ascii="Palatino Linotype" w:hAnsi="Palatino Linotype"/>
          <w:i/>
          <w:sz w:val="20"/>
          <w:szCs w:val="20"/>
          <w:lang w:val="es-MX"/>
        </w:rPr>
        <w:t xml:space="preserve">del </w:t>
      </w:r>
      <w:r w:rsidR="008E5C58">
        <w:rPr>
          <w:rFonts w:ascii="Palatino Linotype" w:hAnsi="Palatino Linotype"/>
          <w:i/>
          <w:sz w:val="20"/>
          <w:szCs w:val="20"/>
          <w:lang w:val="es-MX"/>
        </w:rPr>
        <w:t>Estado de Resultados los rubros que integran e</w:t>
      </w:r>
      <w:r w:rsidR="009926B7">
        <w:rPr>
          <w:rFonts w:ascii="Palatino Linotype" w:hAnsi="Palatino Linotype"/>
          <w:i/>
          <w:sz w:val="20"/>
          <w:szCs w:val="20"/>
          <w:lang w:val="es-MX"/>
        </w:rPr>
        <w:t>se</w:t>
      </w:r>
      <w:r w:rsidR="008E5C58">
        <w:rPr>
          <w:rFonts w:ascii="Palatino Linotype" w:hAnsi="Palatino Linotype"/>
          <w:i/>
          <w:sz w:val="20"/>
          <w:szCs w:val="20"/>
          <w:lang w:val="es-MX"/>
        </w:rPr>
        <w:t xml:space="preserve"> estado presentan información en moneda heterogénea (</w:t>
      </w:r>
      <w:r w:rsidR="0086034B">
        <w:rPr>
          <w:rFonts w:ascii="Palatino Linotype" w:hAnsi="Palatino Linotype"/>
          <w:i/>
          <w:sz w:val="20"/>
          <w:szCs w:val="20"/>
          <w:lang w:val="es-MX"/>
        </w:rPr>
        <w:t xml:space="preserve">acumulan los resultados de operaciones y hechos medidos en moneda histórica del momento de su ocurrencia), por lo que </w:t>
      </w:r>
      <w:r w:rsidR="008E5C58">
        <w:rPr>
          <w:rFonts w:ascii="Palatino Linotype" w:hAnsi="Palatino Linotype"/>
          <w:i/>
          <w:sz w:val="20"/>
          <w:szCs w:val="20"/>
          <w:lang w:val="es-MX"/>
        </w:rPr>
        <w:t xml:space="preserve">exponen </w:t>
      </w:r>
      <w:r w:rsidR="0086034B">
        <w:rPr>
          <w:rFonts w:ascii="Palatino Linotype" w:hAnsi="Palatino Linotype"/>
          <w:i/>
          <w:sz w:val="20"/>
          <w:szCs w:val="20"/>
          <w:lang w:val="es-MX"/>
        </w:rPr>
        <w:t>una acumulación de resultados medidos en moneda de</w:t>
      </w:r>
      <w:r w:rsidR="008E5C58">
        <w:rPr>
          <w:rFonts w:ascii="Palatino Linotype" w:hAnsi="Palatino Linotype"/>
          <w:i/>
          <w:sz w:val="20"/>
          <w:szCs w:val="20"/>
          <w:lang w:val="es-MX"/>
        </w:rPr>
        <w:t xml:space="preserve"> distinto poder adquisitivo, siendo la línea de ajuste global</w:t>
      </w:r>
      <w:r w:rsidR="00E80D17">
        <w:rPr>
          <w:rFonts w:ascii="Palatino Linotype" w:hAnsi="Palatino Linotype"/>
          <w:i/>
          <w:sz w:val="20"/>
          <w:szCs w:val="20"/>
          <w:lang w:val="es-MX"/>
        </w:rPr>
        <w:t xml:space="preserve"> </w:t>
      </w:r>
      <w:r w:rsidR="00844F02">
        <w:rPr>
          <w:rFonts w:ascii="Palatino Linotype" w:hAnsi="Palatino Linotype"/>
          <w:i/>
          <w:sz w:val="20"/>
          <w:szCs w:val="20"/>
          <w:lang w:val="es-MX"/>
        </w:rPr>
        <w:t>obtenida</w:t>
      </w:r>
      <w:r w:rsidR="00E80D17">
        <w:rPr>
          <w:rFonts w:ascii="Palatino Linotype" w:hAnsi="Palatino Linotype"/>
          <w:i/>
          <w:sz w:val="20"/>
          <w:szCs w:val="20"/>
          <w:lang w:val="es-MX"/>
        </w:rPr>
        <w:t xml:space="preserve"> </w:t>
      </w:r>
      <w:r w:rsidR="00A1582D">
        <w:rPr>
          <w:rFonts w:ascii="Palatino Linotype" w:hAnsi="Palatino Linotype"/>
          <w:i/>
          <w:sz w:val="20"/>
          <w:szCs w:val="20"/>
          <w:lang w:val="es-MX"/>
        </w:rPr>
        <w:t xml:space="preserve">según </w:t>
      </w:r>
      <w:r w:rsidR="00E80D17">
        <w:rPr>
          <w:rFonts w:ascii="Palatino Linotype" w:hAnsi="Palatino Linotype"/>
          <w:i/>
          <w:sz w:val="20"/>
          <w:szCs w:val="20"/>
          <w:lang w:val="es-MX"/>
        </w:rPr>
        <w:t>el procedimiento indicado</w:t>
      </w:r>
      <w:r w:rsidR="00844F02">
        <w:rPr>
          <w:rFonts w:ascii="Palatino Linotype" w:hAnsi="Palatino Linotype"/>
          <w:i/>
          <w:sz w:val="20"/>
          <w:szCs w:val="20"/>
          <w:lang w:val="es-MX"/>
        </w:rPr>
        <w:t>, por lo que solo el resultado final del ejercicio queda expuesto en moneda homogénea.</w:t>
      </w:r>
    </w:p>
    <w:p w:rsidR="00451A1B" w:rsidRDefault="001F19DD" w:rsidP="00E80D17">
      <w:pPr>
        <w:ind w:left="284"/>
        <w:jc w:val="both"/>
        <w:rPr>
          <w:rFonts w:ascii="Palatino Linotype" w:hAnsi="Palatino Linotype"/>
          <w:i/>
          <w:sz w:val="20"/>
          <w:szCs w:val="20"/>
          <w:lang w:val="es-MX"/>
        </w:rPr>
      </w:pPr>
      <w:r w:rsidRPr="00E80D17">
        <w:rPr>
          <w:rFonts w:ascii="Palatino Linotype" w:hAnsi="Palatino Linotype"/>
          <w:i/>
          <w:sz w:val="20"/>
          <w:szCs w:val="20"/>
          <w:lang w:val="es-MX"/>
        </w:rPr>
        <w:t>Debido a la metodología de ajuste aplicada en el Estado de Resultados</w:t>
      </w:r>
      <w:r w:rsidR="00844F02">
        <w:rPr>
          <w:rFonts w:ascii="Palatino Linotype" w:hAnsi="Palatino Linotype"/>
          <w:i/>
          <w:sz w:val="20"/>
          <w:szCs w:val="20"/>
          <w:lang w:val="es-MX"/>
        </w:rPr>
        <w:t>, excepto por el resultado final del ejercicio, las partidas componentes del Estado de Resultados no están expresadas en moneda  de poder adquisitivo del cierre del ejercicio y no son comparables entre sí ni con las que componen los restantes estados contables</w:t>
      </w:r>
      <w:r w:rsidR="00A1582D">
        <w:rPr>
          <w:rFonts w:ascii="Palatino Linotype" w:hAnsi="Palatino Linotype"/>
          <w:i/>
          <w:sz w:val="20"/>
          <w:szCs w:val="20"/>
          <w:lang w:val="es-MX"/>
        </w:rPr>
        <w:t>, por lo que el análisis e interpretación de los presentes estado</w:t>
      </w:r>
      <w:r w:rsidR="00744120">
        <w:rPr>
          <w:rFonts w:ascii="Palatino Linotype" w:hAnsi="Palatino Linotype"/>
          <w:i/>
          <w:sz w:val="20"/>
          <w:szCs w:val="20"/>
          <w:lang w:val="es-MX"/>
        </w:rPr>
        <w:t xml:space="preserve">s contables debe realizarse </w:t>
      </w:r>
      <w:r w:rsidR="00A1582D">
        <w:rPr>
          <w:rFonts w:ascii="Palatino Linotype" w:hAnsi="Palatino Linotype"/>
          <w:i/>
          <w:sz w:val="20"/>
          <w:szCs w:val="20"/>
          <w:lang w:val="es-MX"/>
        </w:rPr>
        <w:t xml:space="preserve"> considerando las limitaciones que</w:t>
      </w:r>
      <w:r w:rsidR="005E04CA">
        <w:rPr>
          <w:rFonts w:ascii="Palatino Linotype" w:hAnsi="Palatino Linotype"/>
          <w:i/>
          <w:sz w:val="20"/>
          <w:szCs w:val="20"/>
          <w:lang w:val="es-MX"/>
        </w:rPr>
        <w:t xml:space="preserve"> produce</w:t>
      </w:r>
      <w:r w:rsidR="00A1582D">
        <w:rPr>
          <w:rFonts w:ascii="Palatino Linotype" w:hAnsi="Palatino Linotype"/>
          <w:i/>
          <w:sz w:val="20"/>
          <w:szCs w:val="20"/>
          <w:lang w:val="es-MX"/>
        </w:rPr>
        <w:t xml:space="preserve"> </w:t>
      </w:r>
      <w:r w:rsidR="009926B7">
        <w:rPr>
          <w:rFonts w:ascii="Palatino Linotype" w:hAnsi="Palatino Linotype"/>
          <w:i/>
          <w:sz w:val="20"/>
          <w:szCs w:val="20"/>
          <w:lang w:val="es-MX"/>
        </w:rPr>
        <w:t>el efecto</w:t>
      </w:r>
      <w:r w:rsidR="005E04CA">
        <w:rPr>
          <w:rFonts w:ascii="Palatino Linotype" w:hAnsi="Palatino Linotype"/>
          <w:i/>
          <w:sz w:val="20"/>
          <w:szCs w:val="20"/>
          <w:lang w:val="es-MX"/>
        </w:rPr>
        <w:t xml:space="preserve"> </w:t>
      </w:r>
      <w:r w:rsidR="002A3287">
        <w:rPr>
          <w:rFonts w:ascii="Palatino Linotype" w:hAnsi="Palatino Linotype"/>
          <w:i/>
          <w:sz w:val="20"/>
          <w:szCs w:val="20"/>
          <w:lang w:val="es-MX"/>
        </w:rPr>
        <w:t>mencionad</w:t>
      </w:r>
      <w:r w:rsidR="009926B7">
        <w:rPr>
          <w:rFonts w:ascii="Palatino Linotype" w:hAnsi="Palatino Linotype"/>
          <w:i/>
          <w:sz w:val="20"/>
          <w:szCs w:val="20"/>
          <w:lang w:val="es-MX"/>
        </w:rPr>
        <w:t>o</w:t>
      </w:r>
      <w:r w:rsidR="002A3287">
        <w:rPr>
          <w:rFonts w:ascii="Palatino Linotype" w:hAnsi="Palatino Linotype"/>
          <w:i/>
          <w:sz w:val="20"/>
          <w:szCs w:val="20"/>
          <w:lang w:val="es-MX"/>
        </w:rPr>
        <w:t>.</w:t>
      </w:r>
      <w:r w:rsidR="005E04CA">
        <w:rPr>
          <w:rFonts w:ascii="Palatino Linotype" w:hAnsi="Palatino Linotype"/>
          <w:i/>
          <w:sz w:val="20"/>
          <w:szCs w:val="20"/>
          <w:lang w:val="es-MX"/>
        </w:rPr>
        <w:t xml:space="preserve"> </w:t>
      </w:r>
    </w:p>
    <w:p w:rsidR="00844F02" w:rsidRPr="00E80D17" w:rsidRDefault="00844F02" w:rsidP="00E80D17">
      <w:pPr>
        <w:ind w:left="284"/>
        <w:jc w:val="both"/>
        <w:rPr>
          <w:rFonts w:ascii="Palatino Linotype" w:hAnsi="Palatino Linotype"/>
          <w:i/>
          <w:sz w:val="20"/>
          <w:szCs w:val="20"/>
          <w:lang w:val="es-MX"/>
        </w:rPr>
      </w:pPr>
    </w:p>
    <w:p w:rsidR="00510794" w:rsidRDefault="00510794" w:rsidP="00510794">
      <w:pPr>
        <w:pStyle w:val="Prrafodelista"/>
        <w:numPr>
          <w:ilvl w:val="0"/>
          <w:numId w:val="8"/>
        </w:numPr>
        <w:ind w:left="284" w:hanging="284"/>
        <w:jc w:val="both"/>
        <w:rPr>
          <w:rFonts w:ascii="Palatino Linotype" w:hAnsi="Palatino Linotype"/>
          <w:i/>
          <w:sz w:val="20"/>
          <w:szCs w:val="20"/>
          <w:lang w:val="es-MX"/>
        </w:rPr>
      </w:pPr>
      <w:r>
        <w:rPr>
          <w:rFonts w:ascii="Palatino Linotype" w:hAnsi="Palatino Linotype"/>
          <w:i/>
          <w:sz w:val="20"/>
          <w:szCs w:val="20"/>
          <w:lang w:val="es-MX"/>
        </w:rPr>
        <w:lastRenderedPageBreak/>
        <w:t>El Estado de Flujo de Efectivo se ha preparado por el método directo, presentando la información ajustada en forma sintética con los renglones siguientes: a) saldo al inicio; b) saldo al cierre; c) variación en el ejercicio; y d) explicación de las causas a nivel de totales (operativas, inversión, financiación).</w:t>
      </w:r>
      <w:r w:rsidRPr="004F588A">
        <w:rPr>
          <w:rFonts w:ascii="Palatino Linotype" w:hAnsi="Palatino Linotype"/>
          <w:b/>
          <w:i/>
          <w:color w:val="FF0000"/>
          <w:sz w:val="28"/>
          <w:szCs w:val="28"/>
          <w:vertAlign w:val="superscript"/>
          <w:lang w:val="es-MX"/>
        </w:rPr>
        <w:t>2</w:t>
      </w:r>
      <w:r>
        <w:rPr>
          <w:rFonts w:ascii="Palatino Linotype" w:hAnsi="Palatino Linotype"/>
          <w:b/>
          <w:i/>
          <w:color w:val="FF0000"/>
          <w:sz w:val="28"/>
          <w:szCs w:val="28"/>
          <w:vertAlign w:val="superscript"/>
          <w:lang w:val="es-MX"/>
        </w:rPr>
        <w:t xml:space="preserve"> </w:t>
      </w:r>
      <w:r w:rsidRPr="00510794">
        <w:rPr>
          <w:rFonts w:ascii="Palatino Linotype" w:hAnsi="Palatino Linotype"/>
          <w:i/>
          <w:sz w:val="20"/>
          <w:szCs w:val="20"/>
          <w:lang w:val="es-MX"/>
        </w:rPr>
        <w:t xml:space="preserve">La </w:t>
      </w:r>
      <w:r>
        <w:rPr>
          <w:rFonts w:ascii="Palatino Linotype" w:hAnsi="Palatino Linotype"/>
          <w:i/>
          <w:sz w:val="20"/>
          <w:szCs w:val="20"/>
          <w:lang w:val="es-MX"/>
        </w:rPr>
        <w:t>falta de desagregación</w:t>
      </w:r>
      <w:r w:rsidRPr="00510794">
        <w:rPr>
          <w:rFonts w:ascii="Palatino Linotype" w:hAnsi="Palatino Linotype"/>
          <w:i/>
          <w:sz w:val="20"/>
          <w:szCs w:val="20"/>
          <w:lang w:val="es-MX"/>
        </w:rPr>
        <w:t xml:space="preserve"> de las causas de generación y aplicación de</w:t>
      </w:r>
      <w:r>
        <w:rPr>
          <w:rFonts w:ascii="Palatino Linotype" w:hAnsi="Palatino Linotype"/>
          <w:i/>
          <w:sz w:val="20"/>
          <w:szCs w:val="20"/>
          <w:lang w:val="es-MX"/>
        </w:rPr>
        <w:t>l</w:t>
      </w:r>
      <w:r w:rsidRPr="00510794">
        <w:rPr>
          <w:rFonts w:ascii="Palatino Linotype" w:hAnsi="Palatino Linotype"/>
          <w:i/>
          <w:sz w:val="20"/>
          <w:szCs w:val="20"/>
          <w:lang w:val="es-MX"/>
        </w:rPr>
        <w:t xml:space="preserve"> efectivo y sus equivalentes dentro de cada categoría (operativas, inversión, financiación) genera la imposi</w:t>
      </w:r>
      <w:r>
        <w:rPr>
          <w:rFonts w:ascii="Palatino Linotype" w:hAnsi="Palatino Linotype"/>
          <w:i/>
          <w:sz w:val="20"/>
          <w:szCs w:val="20"/>
          <w:lang w:val="es-MX"/>
        </w:rPr>
        <w:t>bilidad de conocer en detalle</w:t>
      </w:r>
      <w:r w:rsidRPr="00510794">
        <w:rPr>
          <w:rFonts w:ascii="Palatino Linotype" w:hAnsi="Palatino Linotype"/>
          <w:i/>
          <w:sz w:val="20"/>
          <w:szCs w:val="20"/>
          <w:lang w:val="es-MX"/>
        </w:rPr>
        <w:t xml:space="preserve"> cuáles han sido las actividades que generaron los movimientos de efectivos y equivalentes y por qué magnitud cada una de ellas, limitando el análisis </w:t>
      </w:r>
      <w:r>
        <w:rPr>
          <w:rFonts w:ascii="Palatino Linotype" w:hAnsi="Palatino Linotype"/>
          <w:i/>
          <w:sz w:val="20"/>
          <w:szCs w:val="20"/>
          <w:lang w:val="es-MX"/>
        </w:rPr>
        <w:t>de la evolución financiera de la entidad durante el ejercicio</w:t>
      </w:r>
      <w:r w:rsidRPr="00510794">
        <w:rPr>
          <w:rFonts w:ascii="Palatino Linotype" w:hAnsi="Palatino Linotype"/>
          <w:i/>
          <w:sz w:val="20"/>
          <w:szCs w:val="20"/>
          <w:lang w:val="es-MX"/>
        </w:rPr>
        <w:t>.</w:t>
      </w:r>
    </w:p>
    <w:p w:rsidR="007479F8" w:rsidRPr="00510794" w:rsidRDefault="007479F8" w:rsidP="007479F8">
      <w:pPr>
        <w:pStyle w:val="Prrafodelista"/>
        <w:ind w:left="284"/>
        <w:jc w:val="both"/>
        <w:rPr>
          <w:rFonts w:ascii="Palatino Linotype" w:hAnsi="Palatino Linotype"/>
          <w:i/>
          <w:sz w:val="20"/>
          <w:szCs w:val="20"/>
          <w:lang w:val="es-MX"/>
        </w:rPr>
      </w:pPr>
    </w:p>
    <w:p w:rsidR="007479F8" w:rsidRDefault="007479F8" w:rsidP="007479F8">
      <w:pPr>
        <w:pStyle w:val="Prrafodelista"/>
        <w:ind w:left="284"/>
        <w:jc w:val="both"/>
        <w:rPr>
          <w:rFonts w:ascii="Palatino Linotype" w:hAnsi="Palatino Linotype"/>
          <w:i/>
          <w:sz w:val="20"/>
          <w:szCs w:val="20"/>
          <w:lang w:val="es-MX"/>
        </w:rPr>
      </w:pPr>
    </w:p>
    <w:p w:rsidR="00A576B4" w:rsidRDefault="007479F8" w:rsidP="007479F8">
      <w:pPr>
        <w:pStyle w:val="Prrafodelista"/>
        <w:numPr>
          <w:ilvl w:val="0"/>
          <w:numId w:val="8"/>
        </w:numPr>
        <w:ind w:left="284" w:hanging="284"/>
        <w:jc w:val="both"/>
        <w:rPr>
          <w:rFonts w:ascii="Palatino Linotype" w:hAnsi="Palatino Linotype"/>
          <w:i/>
          <w:sz w:val="20"/>
          <w:szCs w:val="20"/>
          <w:lang w:val="es-MX"/>
        </w:rPr>
      </w:pPr>
      <w:r w:rsidRPr="007479F8">
        <w:rPr>
          <w:rFonts w:ascii="Palatino Linotype" w:hAnsi="Palatino Linotype"/>
          <w:i/>
          <w:sz w:val="20"/>
          <w:szCs w:val="20"/>
        </w:rPr>
        <w:t xml:space="preserve">En relación con la aplicación del método del impuesto diferido, no se ha reconocido la diferencia surgida de la aplicación de la RT </w:t>
      </w:r>
      <w:r w:rsidR="00B72ABE">
        <w:rPr>
          <w:rFonts w:ascii="Palatino Linotype" w:hAnsi="Palatino Linotype"/>
          <w:i/>
          <w:sz w:val="20"/>
          <w:szCs w:val="20"/>
        </w:rPr>
        <w:t xml:space="preserve">N° </w:t>
      </w:r>
      <w:r w:rsidRPr="007479F8">
        <w:rPr>
          <w:rFonts w:ascii="Palatino Linotype" w:hAnsi="Palatino Linotype"/>
          <w:i/>
          <w:sz w:val="20"/>
          <w:szCs w:val="20"/>
        </w:rPr>
        <w:t xml:space="preserve">6 en los terrenos sobre los que, dado que tales bienes no se amortizan y no se prevé su venta en el futuro previsible, se considera improbable que las diferencias temporarias se reversen en </w:t>
      </w:r>
      <w:r w:rsidR="00B72ABE">
        <w:rPr>
          <w:rFonts w:ascii="Palatino Linotype" w:hAnsi="Palatino Linotype"/>
          <w:i/>
          <w:sz w:val="20"/>
          <w:szCs w:val="20"/>
        </w:rPr>
        <w:t xml:space="preserve">dicho </w:t>
      </w:r>
      <w:r w:rsidRPr="007479F8">
        <w:rPr>
          <w:rFonts w:ascii="Palatino Linotype" w:hAnsi="Palatino Linotype"/>
          <w:i/>
          <w:sz w:val="20"/>
          <w:szCs w:val="20"/>
        </w:rPr>
        <w:t>futuro.</w:t>
      </w:r>
      <w:r w:rsidRPr="007479F8">
        <w:rPr>
          <w:rFonts w:ascii="Palatino Linotype" w:hAnsi="Palatino Linotype"/>
          <w:i/>
          <w:sz w:val="20"/>
          <w:szCs w:val="20"/>
          <w:lang w:val="es-MX"/>
        </w:rPr>
        <w:t xml:space="preserve"> </w:t>
      </w:r>
      <w:r w:rsidR="00B72ABE">
        <w:rPr>
          <w:rFonts w:ascii="Palatino Linotype" w:hAnsi="Palatino Linotype"/>
          <w:i/>
          <w:sz w:val="20"/>
          <w:szCs w:val="20"/>
          <w:lang w:val="es-MX"/>
        </w:rPr>
        <w:t xml:space="preserve">Si se reconociera el pasivo señalado se incrementaría en la suma de $ …… el Pasivo diferido neto </w:t>
      </w:r>
      <w:r w:rsidR="00B72ABE" w:rsidRPr="00B72ABE">
        <w:rPr>
          <w:rFonts w:ascii="Palatino Linotype" w:hAnsi="Palatino Linotype"/>
          <w:b/>
          <w:i/>
          <w:sz w:val="20"/>
          <w:szCs w:val="20"/>
          <w:lang w:val="es-MX"/>
        </w:rPr>
        <w:t>[se reduciría en la suma de $ …… el Activo diferido neto]</w:t>
      </w:r>
      <w:r w:rsidR="00B72ABE">
        <w:rPr>
          <w:rFonts w:ascii="Palatino Linotype" w:hAnsi="Palatino Linotype"/>
          <w:i/>
          <w:sz w:val="20"/>
          <w:szCs w:val="20"/>
          <w:lang w:val="es-MX"/>
        </w:rPr>
        <w:t xml:space="preserve"> expuesto en el </w:t>
      </w:r>
      <w:r w:rsidR="00957D4A">
        <w:rPr>
          <w:rFonts w:ascii="Palatino Linotype" w:hAnsi="Palatino Linotype"/>
          <w:i/>
          <w:sz w:val="20"/>
          <w:szCs w:val="20"/>
          <w:lang w:val="es-MX"/>
        </w:rPr>
        <w:t xml:space="preserve">Estado de Situación Patrimonial, siendo su contrapartida un débito en la cuenta “Impuesto a las ganancias” por la suma de $........ </w:t>
      </w:r>
      <w:r w:rsidR="00957D4A" w:rsidRPr="00957D4A">
        <w:rPr>
          <w:rFonts w:ascii="Palatino Linotype" w:hAnsi="Palatino Linotype"/>
          <w:b/>
          <w:i/>
          <w:sz w:val="20"/>
          <w:szCs w:val="20"/>
          <w:lang w:val="es-MX"/>
        </w:rPr>
        <w:t>[y un débito en la cuenta “Resultados acumulados” por la suma de $........]</w:t>
      </w:r>
      <w:r w:rsidR="007C65D1">
        <w:rPr>
          <w:rFonts w:ascii="Palatino Linotype" w:hAnsi="Palatino Linotype"/>
          <w:b/>
          <w:color w:val="FF0000"/>
          <w:sz w:val="28"/>
          <w:szCs w:val="28"/>
          <w:vertAlign w:val="superscript"/>
        </w:rPr>
        <w:t>3</w:t>
      </w:r>
      <w:r w:rsidR="00957D4A">
        <w:rPr>
          <w:rFonts w:ascii="Palatino Linotype" w:hAnsi="Palatino Linotype"/>
          <w:i/>
          <w:sz w:val="20"/>
          <w:szCs w:val="20"/>
          <w:lang w:val="es-MX"/>
        </w:rPr>
        <w:t>, con la correspondiente reducción d</w:t>
      </w:r>
      <w:r w:rsidR="00B72ABE">
        <w:rPr>
          <w:rFonts w:ascii="Palatino Linotype" w:hAnsi="Palatino Linotype"/>
          <w:i/>
          <w:sz w:val="20"/>
          <w:szCs w:val="20"/>
          <w:lang w:val="es-MX"/>
        </w:rPr>
        <w:t>el Patrimonio Neto</w:t>
      </w:r>
      <w:r w:rsidR="00E53DE4">
        <w:rPr>
          <w:rFonts w:ascii="Palatino Linotype" w:hAnsi="Palatino Linotype"/>
          <w:i/>
          <w:sz w:val="20"/>
          <w:szCs w:val="20"/>
          <w:lang w:val="es-MX"/>
        </w:rPr>
        <w:t xml:space="preserve"> en la misma medida, como se indica en la nota XX.</w:t>
      </w:r>
      <w:r w:rsidR="00E53DE4" w:rsidRPr="00E53DE4">
        <w:rPr>
          <w:rFonts w:ascii="Palatino Linotype" w:hAnsi="Palatino Linotype"/>
          <w:b/>
          <w:color w:val="FF0000"/>
          <w:sz w:val="28"/>
          <w:szCs w:val="28"/>
          <w:vertAlign w:val="superscript"/>
        </w:rPr>
        <w:t xml:space="preserve"> </w:t>
      </w:r>
      <w:r w:rsidR="00E53DE4">
        <w:rPr>
          <w:rFonts w:ascii="Palatino Linotype" w:hAnsi="Palatino Linotype"/>
          <w:b/>
          <w:color w:val="FF0000"/>
          <w:sz w:val="28"/>
          <w:szCs w:val="28"/>
          <w:vertAlign w:val="superscript"/>
        </w:rPr>
        <w:t>4</w:t>
      </w:r>
    </w:p>
    <w:p w:rsidR="00A576B4" w:rsidRDefault="00A576B4" w:rsidP="00A576B4">
      <w:pPr>
        <w:pStyle w:val="Prrafodelista"/>
        <w:ind w:left="284"/>
        <w:jc w:val="both"/>
        <w:rPr>
          <w:rFonts w:ascii="Palatino Linotype" w:hAnsi="Palatino Linotype"/>
          <w:i/>
          <w:sz w:val="20"/>
          <w:szCs w:val="20"/>
          <w:lang w:val="es-MX"/>
        </w:rPr>
      </w:pPr>
    </w:p>
    <w:p w:rsidR="00A576B4" w:rsidRPr="00A576B4" w:rsidRDefault="00A576B4" w:rsidP="00A576B4">
      <w:pPr>
        <w:pStyle w:val="Prrafodelista"/>
        <w:numPr>
          <w:ilvl w:val="0"/>
          <w:numId w:val="8"/>
        </w:numPr>
        <w:ind w:left="284" w:hanging="284"/>
        <w:jc w:val="both"/>
        <w:rPr>
          <w:rFonts w:ascii="Palatino Linotype" w:hAnsi="Palatino Linotype"/>
          <w:i/>
          <w:sz w:val="20"/>
          <w:szCs w:val="20"/>
          <w:lang w:val="es-MX"/>
        </w:rPr>
      </w:pPr>
      <w:r w:rsidRPr="00A576B4">
        <w:rPr>
          <w:rFonts w:ascii="Palatino Linotype" w:hAnsi="Palatino Linotype"/>
          <w:i/>
          <w:sz w:val="20"/>
          <w:szCs w:val="20"/>
          <w:lang w:val="es-MX"/>
        </w:rPr>
        <w:t xml:space="preserve">Los resultados financieros y por tenencia (incluido el RECPAM) se determinan y presentan en una sola línea. La </w:t>
      </w:r>
      <w:r>
        <w:rPr>
          <w:rFonts w:ascii="Palatino Linotype" w:hAnsi="Palatino Linotype"/>
          <w:i/>
          <w:sz w:val="20"/>
          <w:szCs w:val="20"/>
          <w:lang w:val="es-MX"/>
        </w:rPr>
        <w:t xml:space="preserve">falta de </w:t>
      </w:r>
      <w:r w:rsidRPr="00A576B4">
        <w:rPr>
          <w:rFonts w:ascii="Palatino Linotype" w:hAnsi="Palatino Linotype"/>
          <w:i/>
          <w:sz w:val="20"/>
          <w:szCs w:val="20"/>
          <w:lang w:val="es-MX"/>
        </w:rPr>
        <w:t>apertura de los resultados financieros y por tenencia (incluido el RECPAM) genera la imposibilidad de determinar las magnitudes reales de los diferentes componentes de los resultados financieros y por tenencia,</w:t>
      </w:r>
      <w:r>
        <w:rPr>
          <w:rFonts w:ascii="Palatino Linotype" w:hAnsi="Palatino Linotype"/>
          <w:i/>
          <w:sz w:val="20"/>
          <w:szCs w:val="20"/>
          <w:lang w:val="es-MX"/>
        </w:rPr>
        <w:t xml:space="preserve"> así como </w:t>
      </w:r>
      <w:r w:rsidRPr="00A576B4">
        <w:rPr>
          <w:rFonts w:ascii="Palatino Linotype" w:hAnsi="Palatino Linotype"/>
          <w:i/>
          <w:sz w:val="20"/>
          <w:szCs w:val="20"/>
          <w:lang w:val="es-MX"/>
        </w:rPr>
        <w:t>las magnitudes nominales ajustadas por inflación de los mismos y el efecto del RECPAM sobre dichos resultados. Esta limitación también impide la determinación de ciertos ratios financieros, tales como el rendimiento de los activos financieros, el costo de endeudamiento, el efecto “palanca”, etc.</w:t>
      </w:r>
    </w:p>
    <w:p w:rsidR="00A576B4" w:rsidRDefault="00A576B4" w:rsidP="00A576B4">
      <w:pPr>
        <w:pStyle w:val="Prrafodelista"/>
        <w:ind w:left="284"/>
        <w:jc w:val="both"/>
        <w:rPr>
          <w:rFonts w:ascii="Palatino Linotype" w:hAnsi="Palatino Linotype"/>
          <w:i/>
          <w:sz w:val="20"/>
          <w:szCs w:val="20"/>
          <w:lang w:val="es-MX"/>
        </w:rPr>
      </w:pPr>
    </w:p>
    <w:p w:rsidR="00A576B4" w:rsidRPr="00A576B4" w:rsidRDefault="00A576B4" w:rsidP="00A576B4">
      <w:pPr>
        <w:pStyle w:val="Prrafodelista"/>
        <w:rPr>
          <w:rFonts w:ascii="Palatino Linotype" w:hAnsi="Palatino Linotype"/>
          <w:i/>
          <w:sz w:val="20"/>
          <w:szCs w:val="20"/>
          <w:lang w:val="es-MX"/>
        </w:rPr>
      </w:pPr>
    </w:p>
    <w:p w:rsidR="00C261E8" w:rsidRDefault="0033278C" w:rsidP="0033278C">
      <w:pPr>
        <w:pStyle w:val="Prrafodelista"/>
        <w:numPr>
          <w:ilvl w:val="0"/>
          <w:numId w:val="8"/>
        </w:numPr>
        <w:ind w:left="284" w:hanging="284"/>
        <w:jc w:val="both"/>
        <w:rPr>
          <w:rFonts w:ascii="Palatino Linotype" w:hAnsi="Palatino Linotype"/>
          <w:i/>
          <w:sz w:val="20"/>
          <w:szCs w:val="20"/>
          <w:lang w:val="es-MX"/>
        </w:rPr>
      </w:pPr>
      <w:r>
        <w:rPr>
          <w:rFonts w:ascii="Palatino Linotype" w:hAnsi="Palatino Linotype"/>
          <w:i/>
          <w:sz w:val="20"/>
          <w:szCs w:val="20"/>
          <w:lang w:val="es-MX"/>
        </w:rPr>
        <w:t>El Estado de Flujo de Efectivo ha sido preparado por el método indirecto</w:t>
      </w:r>
      <w:r w:rsidR="0036393F">
        <w:rPr>
          <w:rFonts w:ascii="Palatino Linotype" w:hAnsi="Palatino Linotype"/>
          <w:i/>
          <w:sz w:val="20"/>
          <w:szCs w:val="20"/>
          <w:lang w:val="es-MX"/>
        </w:rPr>
        <w:t xml:space="preserve"> y la variación de los resultados financieros y por tenencia (incluido el RECPAM) generados por el efectivo y sus equivalentes se mantiene dentro del resultado del período. No se ha identificado dicho importe, lo que impide conocer su efecto en la determinación del flujo neto de efectivo generado por </w:t>
      </w:r>
      <w:r w:rsidR="0036393F" w:rsidRPr="0036393F">
        <w:rPr>
          <w:rFonts w:ascii="Palatino Linotype" w:hAnsi="Palatino Linotype"/>
          <w:b/>
          <w:i/>
          <w:sz w:val="20"/>
          <w:szCs w:val="20"/>
          <w:lang w:val="es-MX"/>
        </w:rPr>
        <w:t>[utilizado en]</w:t>
      </w:r>
      <w:r w:rsidR="0036393F">
        <w:rPr>
          <w:rFonts w:ascii="Palatino Linotype" w:hAnsi="Palatino Linotype"/>
          <w:i/>
          <w:sz w:val="20"/>
          <w:szCs w:val="20"/>
          <w:lang w:val="es-MX"/>
        </w:rPr>
        <w:t xml:space="preserve"> las actividades operativas.</w:t>
      </w:r>
    </w:p>
    <w:p w:rsidR="0036393F" w:rsidRDefault="0036393F" w:rsidP="0036393F">
      <w:pPr>
        <w:pStyle w:val="Prrafodelista"/>
        <w:ind w:left="284"/>
        <w:jc w:val="both"/>
        <w:rPr>
          <w:rFonts w:ascii="Palatino Linotype" w:hAnsi="Palatino Linotype"/>
          <w:i/>
          <w:sz w:val="20"/>
          <w:szCs w:val="20"/>
          <w:lang w:val="es-MX"/>
        </w:rPr>
      </w:pPr>
    </w:p>
    <w:p w:rsidR="005D6A56" w:rsidRPr="00A96F91" w:rsidRDefault="00B12177" w:rsidP="00A96F91">
      <w:pPr>
        <w:pStyle w:val="Prrafodelista"/>
        <w:numPr>
          <w:ilvl w:val="0"/>
          <w:numId w:val="8"/>
        </w:numPr>
        <w:ind w:left="284" w:hanging="284"/>
        <w:jc w:val="both"/>
        <w:rPr>
          <w:rFonts w:ascii="Palatino Linotype" w:hAnsi="Palatino Linotype"/>
          <w:i/>
          <w:sz w:val="20"/>
          <w:szCs w:val="20"/>
          <w:lang w:val="es-MX"/>
        </w:rPr>
      </w:pPr>
      <w:r>
        <w:rPr>
          <w:rFonts w:ascii="Palatino Linotype" w:hAnsi="Palatino Linotype"/>
          <w:i/>
          <w:sz w:val="20"/>
          <w:szCs w:val="20"/>
          <w:lang w:val="es-MX"/>
        </w:rPr>
        <w:t xml:space="preserve">A los efectos de la </w:t>
      </w:r>
      <w:proofErr w:type="spellStart"/>
      <w:r>
        <w:rPr>
          <w:rFonts w:ascii="Palatino Linotype" w:hAnsi="Palatino Linotype"/>
          <w:i/>
          <w:sz w:val="20"/>
          <w:szCs w:val="20"/>
          <w:lang w:val="es-MX"/>
        </w:rPr>
        <w:t>reexpresión</w:t>
      </w:r>
      <w:proofErr w:type="spellEnd"/>
      <w:r>
        <w:rPr>
          <w:rFonts w:ascii="Palatino Linotype" w:hAnsi="Palatino Linotype"/>
          <w:i/>
          <w:sz w:val="20"/>
          <w:szCs w:val="20"/>
          <w:lang w:val="es-MX"/>
        </w:rPr>
        <w:t xml:space="preserve"> de los rubros ….., …… y …… se ha descompuesto el saldo de las cuentas que los integran en períodos …… </w:t>
      </w:r>
      <w:r>
        <w:rPr>
          <w:rFonts w:ascii="Palatino Linotype" w:hAnsi="Palatino Linotype"/>
          <w:b/>
          <w:color w:val="FF0000"/>
          <w:sz w:val="28"/>
          <w:szCs w:val="28"/>
          <w:vertAlign w:val="superscript"/>
        </w:rPr>
        <w:t>3</w:t>
      </w:r>
      <w:r w:rsidR="00A96F91">
        <w:rPr>
          <w:rFonts w:ascii="Palatino Linotype" w:hAnsi="Palatino Linotype"/>
          <w:i/>
          <w:sz w:val="20"/>
          <w:szCs w:val="20"/>
          <w:lang w:val="es-MX"/>
        </w:rPr>
        <w:t xml:space="preserve"> </w:t>
      </w:r>
      <w:r>
        <w:rPr>
          <w:rFonts w:ascii="Palatino Linotype" w:hAnsi="Palatino Linotype"/>
          <w:i/>
          <w:sz w:val="20"/>
          <w:szCs w:val="20"/>
          <w:lang w:val="es-MX"/>
        </w:rPr>
        <w:t>, lo cual no genera en el caso distorsiones significativas.</w:t>
      </w:r>
      <w:r w:rsidR="00243CBB" w:rsidRPr="00A96F91">
        <w:rPr>
          <w:rFonts w:ascii="Palatino Linotype" w:hAnsi="Palatino Linotype"/>
          <w:i/>
          <w:sz w:val="20"/>
          <w:szCs w:val="20"/>
          <w:lang w:val="es-MX"/>
        </w:rPr>
        <w:t xml:space="preserve"> </w:t>
      </w:r>
    </w:p>
    <w:p w:rsidR="004373DF" w:rsidRPr="009C744F" w:rsidRDefault="004373DF" w:rsidP="009C744F">
      <w:pPr>
        <w:rPr>
          <w:rFonts w:ascii="Palatino Linotype" w:hAnsi="Palatino Linotype"/>
          <w:i/>
          <w:sz w:val="20"/>
          <w:szCs w:val="20"/>
          <w:lang w:val="es-MX"/>
        </w:rPr>
      </w:pPr>
    </w:p>
    <w:p w:rsidR="00C775E2" w:rsidRPr="00EE004F" w:rsidRDefault="00C775E2" w:rsidP="00C60304">
      <w:pPr>
        <w:jc w:val="both"/>
        <w:rPr>
          <w:rFonts w:ascii="Palatino Linotype" w:hAnsi="Palatino Linotype"/>
          <w:i/>
          <w:sz w:val="20"/>
          <w:szCs w:val="20"/>
        </w:rPr>
      </w:pPr>
    </w:p>
    <w:p w:rsidR="00EA763F" w:rsidRDefault="00C775E2" w:rsidP="00C60304">
      <w:pPr>
        <w:jc w:val="both"/>
        <w:rPr>
          <w:rFonts w:ascii="Palatino Linotype" w:hAnsi="Palatino Linotype"/>
          <w:sz w:val="16"/>
          <w:szCs w:val="16"/>
        </w:rPr>
      </w:pPr>
      <w:r w:rsidRPr="00C775E2">
        <w:rPr>
          <w:rFonts w:ascii="Palatino Linotype" w:hAnsi="Palatino Linotype"/>
          <w:b/>
          <w:color w:val="FF0000"/>
          <w:sz w:val="28"/>
          <w:szCs w:val="28"/>
          <w:vertAlign w:val="superscript"/>
        </w:rPr>
        <w:t xml:space="preserve">1 </w:t>
      </w:r>
      <w:r w:rsidR="00B12177">
        <w:rPr>
          <w:rFonts w:ascii="Palatino Linotype" w:hAnsi="Palatino Linotype"/>
          <w:sz w:val="16"/>
          <w:szCs w:val="16"/>
        </w:rPr>
        <w:t xml:space="preserve">Aplicable en el caso de que por aplicación de las normas contables profesionales haya existido un proceso de ajuste de los estados contables anterior al practicado en virtud de la reanudación del ajuste por inflación establecido por la Resolución MD N° </w:t>
      </w:r>
      <w:r w:rsidR="009926B7">
        <w:rPr>
          <w:rFonts w:ascii="Palatino Linotype" w:hAnsi="Palatino Linotype"/>
          <w:sz w:val="16"/>
          <w:szCs w:val="16"/>
        </w:rPr>
        <w:t>2883</w:t>
      </w:r>
      <w:r w:rsidR="009C18D2">
        <w:rPr>
          <w:rFonts w:ascii="Palatino Linotype" w:hAnsi="Palatino Linotype"/>
          <w:sz w:val="16"/>
          <w:szCs w:val="16"/>
        </w:rPr>
        <w:t xml:space="preserve"> del CPCEPBA. </w:t>
      </w:r>
    </w:p>
    <w:p w:rsidR="00C775E2" w:rsidRDefault="00C775E2" w:rsidP="00C60304">
      <w:pPr>
        <w:jc w:val="both"/>
        <w:rPr>
          <w:rFonts w:ascii="Palatino Linotype" w:hAnsi="Palatino Linotype"/>
          <w:i/>
          <w:sz w:val="20"/>
          <w:szCs w:val="20"/>
          <w:highlight w:val="yellow"/>
        </w:rPr>
      </w:pPr>
    </w:p>
    <w:p w:rsidR="00C775E2" w:rsidRDefault="00C775E2" w:rsidP="00C60304">
      <w:pPr>
        <w:jc w:val="both"/>
        <w:rPr>
          <w:rFonts w:ascii="Palatino Linotype" w:hAnsi="Palatino Linotype"/>
          <w:sz w:val="16"/>
          <w:szCs w:val="16"/>
        </w:rPr>
      </w:pPr>
      <w:r w:rsidRPr="00C775E2">
        <w:rPr>
          <w:rFonts w:ascii="Palatino Linotype" w:hAnsi="Palatino Linotype"/>
          <w:b/>
          <w:color w:val="FF0000"/>
          <w:sz w:val="28"/>
          <w:szCs w:val="28"/>
          <w:vertAlign w:val="superscript"/>
        </w:rPr>
        <w:t>2</w:t>
      </w:r>
      <w:r>
        <w:rPr>
          <w:rFonts w:ascii="Palatino Linotype" w:hAnsi="Palatino Linotype"/>
          <w:b/>
          <w:color w:val="FF0000"/>
          <w:sz w:val="28"/>
          <w:szCs w:val="28"/>
          <w:vertAlign w:val="superscript"/>
        </w:rPr>
        <w:t xml:space="preserve"> </w:t>
      </w:r>
      <w:r w:rsidR="00D81266">
        <w:rPr>
          <w:rFonts w:ascii="Palatino Linotype" w:hAnsi="Palatino Linotype"/>
          <w:b/>
          <w:color w:val="FF0000"/>
          <w:sz w:val="28"/>
          <w:szCs w:val="28"/>
          <w:vertAlign w:val="superscript"/>
        </w:rPr>
        <w:t xml:space="preserve"> </w:t>
      </w:r>
      <w:r w:rsidR="007C65D1">
        <w:rPr>
          <w:rFonts w:ascii="Palatino Linotype" w:hAnsi="Palatino Linotype"/>
          <w:sz w:val="16"/>
          <w:szCs w:val="16"/>
        </w:rPr>
        <w:t>Simplificaciones</w:t>
      </w:r>
      <w:r w:rsidR="00D81266">
        <w:rPr>
          <w:rFonts w:ascii="Palatino Linotype" w:hAnsi="Palatino Linotype"/>
          <w:sz w:val="16"/>
          <w:szCs w:val="16"/>
        </w:rPr>
        <w:t xml:space="preserve"> únicamente aplicables por Entes Pequeños y Entes Medianos (RT Nº 41).</w:t>
      </w:r>
    </w:p>
    <w:p w:rsidR="007C65D1" w:rsidRDefault="007C65D1" w:rsidP="00C60304">
      <w:pPr>
        <w:jc w:val="both"/>
        <w:rPr>
          <w:rFonts w:ascii="Palatino Linotype" w:hAnsi="Palatino Linotype"/>
          <w:sz w:val="16"/>
          <w:szCs w:val="16"/>
        </w:rPr>
      </w:pPr>
    </w:p>
    <w:p w:rsidR="00E53DE4" w:rsidRDefault="007C65D1" w:rsidP="00E53DE4">
      <w:pPr>
        <w:jc w:val="both"/>
        <w:rPr>
          <w:rFonts w:ascii="Palatino Linotype" w:hAnsi="Palatino Linotype"/>
          <w:sz w:val="16"/>
          <w:szCs w:val="16"/>
        </w:rPr>
      </w:pPr>
      <w:r>
        <w:rPr>
          <w:rFonts w:ascii="Palatino Linotype" w:hAnsi="Palatino Linotype"/>
          <w:b/>
          <w:color w:val="FF0000"/>
          <w:sz w:val="28"/>
          <w:szCs w:val="28"/>
          <w:vertAlign w:val="superscript"/>
        </w:rPr>
        <w:t xml:space="preserve">3  </w:t>
      </w:r>
      <w:r>
        <w:rPr>
          <w:rFonts w:ascii="Palatino Linotype" w:hAnsi="Palatino Linotype"/>
          <w:sz w:val="16"/>
          <w:szCs w:val="16"/>
        </w:rPr>
        <w:t>Esto acontecerá si parte de la diferencia entre el valor contable y el fiscal de los terrenos se gener</w:t>
      </w:r>
      <w:r w:rsidR="009926B7">
        <w:rPr>
          <w:rFonts w:ascii="Palatino Linotype" w:hAnsi="Palatino Linotype"/>
          <w:sz w:val="16"/>
          <w:szCs w:val="16"/>
        </w:rPr>
        <w:t>ó</w:t>
      </w:r>
      <w:r>
        <w:rPr>
          <w:rFonts w:ascii="Palatino Linotype" w:hAnsi="Palatino Linotype"/>
          <w:sz w:val="16"/>
          <w:szCs w:val="16"/>
        </w:rPr>
        <w:t xml:space="preserve"> por la aplicación del ajuste por inflación establecido por la RT 6 en ejercicios anteriores al de la reanudación de la </w:t>
      </w:r>
      <w:proofErr w:type="spellStart"/>
      <w:r>
        <w:rPr>
          <w:rFonts w:ascii="Palatino Linotype" w:hAnsi="Palatino Linotype"/>
          <w:sz w:val="16"/>
          <w:szCs w:val="16"/>
        </w:rPr>
        <w:t>reexpresión</w:t>
      </w:r>
      <w:proofErr w:type="spellEnd"/>
      <w:r>
        <w:rPr>
          <w:rFonts w:ascii="Palatino Linotype" w:hAnsi="Palatino Linotype"/>
          <w:sz w:val="16"/>
          <w:szCs w:val="16"/>
        </w:rPr>
        <w:t xml:space="preserve"> de los estados contables establecida por la Resolución MD N° </w:t>
      </w:r>
      <w:r w:rsidR="009926B7">
        <w:rPr>
          <w:rFonts w:ascii="Palatino Linotype" w:hAnsi="Palatino Linotype"/>
          <w:sz w:val="16"/>
          <w:szCs w:val="16"/>
        </w:rPr>
        <w:t>2883</w:t>
      </w:r>
      <w:r>
        <w:rPr>
          <w:rFonts w:ascii="Palatino Linotype" w:hAnsi="Palatino Linotype"/>
          <w:sz w:val="16"/>
          <w:szCs w:val="16"/>
        </w:rPr>
        <w:t xml:space="preserve"> del CPCEPBA.</w:t>
      </w:r>
      <w:r w:rsidR="00C605E7">
        <w:rPr>
          <w:rFonts w:ascii="Palatino Linotype" w:hAnsi="Palatino Linotype"/>
          <w:sz w:val="16"/>
          <w:szCs w:val="16"/>
        </w:rPr>
        <w:t xml:space="preserve"> Se prevé la existencia de una nota que informe sobre</w:t>
      </w:r>
      <w:r w:rsidR="00951770">
        <w:rPr>
          <w:rFonts w:ascii="Palatino Linotype" w:hAnsi="Palatino Linotype"/>
          <w:sz w:val="16"/>
          <w:szCs w:val="16"/>
        </w:rPr>
        <w:t xml:space="preserve"> todo e</w:t>
      </w:r>
      <w:r w:rsidR="00345398">
        <w:rPr>
          <w:rFonts w:ascii="Palatino Linotype" w:hAnsi="Palatino Linotype"/>
          <w:sz w:val="16"/>
          <w:szCs w:val="16"/>
        </w:rPr>
        <w:t>l pasivo diferido no reconocido (por ejemplo, pasivo diferido no reconocido en relación con la aplicación de la RT 48).</w:t>
      </w:r>
    </w:p>
    <w:p w:rsidR="00E53DE4" w:rsidRDefault="00E53DE4" w:rsidP="007C65D1">
      <w:pPr>
        <w:jc w:val="both"/>
        <w:rPr>
          <w:rFonts w:ascii="Palatino Linotype" w:hAnsi="Palatino Linotype"/>
          <w:sz w:val="16"/>
          <w:szCs w:val="16"/>
        </w:rPr>
      </w:pPr>
      <w:r w:rsidRPr="00E53DE4">
        <w:rPr>
          <w:rFonts w:ascii="Palatino Linotype" w:hAnsi="Palatino Linotype"/>
          <w:b/>
          <w:color w:val="FF0000"/>
          <w:sz w:val="28"/>
          <w:szCs w:val="28"/>
          <w:vertAlign w:val="superscript"/>
        </w:rPr>
        <w:t xml:space="preserve"> </w:t>
      </w:r>
      <w:r>
        <w:rPr>
          <w:rFonts w:ascii="Palatino Linotype" w:hAnsi="Palatino Linotype"/>
          <w:b/>
          <w:color w:val="FF0000"/>
          <w:sz w:val="28"/>
          <w:szCs w:val="28"/>
          <w:vertAlign w:val="superscript"/>
        </w:rPr>
        <w:t xml:space="preserve">4  </w:t>
      </w:r>
      <w:r>
        <w:rPr>
          <w:rFonts w:ascii="Palatino Linotype" w:hAnsi="Palatino Linotype"/>
          <w:sz w:val="16"/>
          <w:szCs w:val="16"/>
        </w:rPr>
        <w:t>Simplificación aplicable por los entes que aplican el Método del Impuesto Diferido.</w:t>
      </w:r>
      <w:r w:rsidR="003E0E45">
        <w:rPr>
          <w:rFonts w:ascii="Palatino Linotype" w:hAnsi="Palatino Linotype"/>
          <w:sz w:val="16"/>
          <w:szCs w:val="16"/>
        </w:rPr>
        <w:t xml:space="preserve"> En el caso de los Entes Medianos que aplican obligatoriamente el Método del Impuesto Diferido (y para los Entes Pequeños que voluntariamente lo apliquen) la dispensa incluida en el Anexo de la Res. MD 2883, Punto 3.8., ampl</w:t>
      </w:r>
      <w:r w:rsidR="00120E73">
        <w:rPr>
          <w:rFonts w:ascii="Palatino Linotype" w:hAnsi="Palatino Linotype"/>
          <w:sz w:val="16"/>
          <w:szCs w:val="16"/>
        </w:rPr>
        <w:t>í</w:t>
      </w:r>
      <w:r w:rsidR="003E0E45">
        <w:rPr>
          <w:rFonts w:ascii="Palatino Linotype" w:hAnsi="Palatino Linotype"/>
          <w:sz w:val="16"/>
          <w:szCs w:val="16"/>
        </w:rPr>
        <w:t>a la ya existente en la Resolución Técnica N° 41</w:t>
      </w:r>
      <w:r w:rsidR="00BC4044">
        <w:rPr>
          <w:rFonts w:ascii="Palatino Linotype" w:hAnsi="Palatino Linotype"/>
          <w:sz w:val="16"/>
          <w:szCs w:val="16"/>
        </w:rPr>
        <w:t>, 3ra. Parte,</w:t>
      </w:r>
      <w:r w:rsidR="003E0E45">
        <w:rPr>
          <w:rFonts w:ascii="Palatino Linotype" w:hAnsi="Palatino Linotype"/>
          <w:sz w:val="16"/>
          <w:szCs w:val="16"/>
        </w:rPr>
        <w:t xml:space="preserve"> relativa a los terrenos agropecuarios.</w:t>
      </w:r>
    </w:p>
    <w:p w:rsidR="009C744F" w:rsidRDefault="009C744F" w:rsidP="007C65D1">
      <w:pPr>
        <w:jc w:val="both"/>
        <w:rPr>
          <w:rFonts w:ascii="Palatino Linotype" w:hAnsi="Palatino Linotype"/>
          <w:sz w:val="16"/>
          <w:szCs w:val="16"/>
        </w:rPr>
      </w:pPr>
    </w:p>
    <w:p w:rsidR="007C65D1" w:rsidRDefault="00E53DE4" w:rsidP="007C65D1">
      <w:pPr>
        <w:jc w:val="both"/>
        <w:rPr>
          <w:rFonts w:ascii="Palatino Linotype" w:hAnsi="Palatino Linotype"/>
          <w:sz w:val="16"/>
          <w:szCs w:val="16"/>
        </w:rPr>
      </w:pPr>
      <w:r>
        <w:rPr>
          <w:rFonts w:ascii="Palatino Linotype" w:hAnsi="Palatino Linotype"/>
          <w:b/>
          <w:color w:val="FF0000"/>
          <w:sz w:val="28"/>
          <w:szCs w:val="28"/>
          <w:vertAlign w:val="superscript"/>
        </w:rPr>
        <w:t>5</w:t>
      </w:r>
      <w:r w:rsidR="009C744F">
        <w:rPr>
          <w:rFonts w:ascii="Palatino Linotype" w:hAnsi="Palatino Linotype"/>
          <w:b/>
          <w:color w:val="FF0000"/>
          <w:sz w:val="28"/>
          <w:szCs w:val="28"/>
          <w:vertAlign w:val="superscript"/>
        </w:rPr>
        <w:t xml:space="preserve">  </w:t>
      </w:r>
      <w:r w:rsidR="009C744F">
        <w:rPr>
          <w:rFonts w:ascii="Palatino Linotype" w:hAnsi="Palatino Linotype"/>
          <w:sz w:val="16"/>
          <w:szCs w:val="16"/>
        </w:rPr>
        <w:t>Debe tratarse de períodos superiores al mes.</w:t>
      </w:r>
    </w:p>
    <w:p w:rsidR="007C65D1" w:rsidRPr="007C65D1" w:rsidRDefault="007C65D1" w:rsidP="00C60304">
      <w:pPr>
        <w:jc w:val="both"/>
        <w:rPr>
          <w:rFonts w:ascii="Palatino Linotype" w:hAnsi="Palatino Linotype"/>
          <w:b/>
          <w:sz w:val="16"/>
          <w:szCs w:val="16"/>
          <w:vertAlign w:val="superscript"/>
        </w:rPr>
      </w:pPr>
    </w:p>
    <w:sectPr w:rsidR="007C65D1" w:rsidRPr="007C65D1" w:rsidSect="00C775E2">
      <w:pgSz w:w="11906" w:h="16838"/>
      <w:pgMar w:top="851"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C25"/>
    <w:multiLevelType w:val="hybridMultilevel"/>
    <w:tmpl w:val="6B481B6A"/>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 w15:restartNumberingAfterBreak="0">
    <w:nsid w:val="20B9186F"/>
    <w:multiLevelType w:val="hybridMultilevel"/>
    <w:tmpl w:val="B244727C"/>
    <w:lvl w:ilvl="0" w:tplc="87F8B2E0">
      <w:start w:val="1"/>
      <w:numFmt w:val="lowerLetter"/>
      <w:lvlText w:val="%1)"/>
      <w:lvlJc w:val="left"/>
      <w:pPr>
        <w:ind w:left="720" w:hanging="360"/>
      </w:pPr>
      <w:rPr>
        <w:rFonts w:cs="Arial" w:hint="default"/>
        <w:color w:val="2222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09F7197"/>
    <w:multiLevelType w:val="hybridMultilevel"/>
    <w:tmpl w:val="287C78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A6A46ED"/>
    <w:multiLevelType w:val="hybridMultilevel"/>
    <w:tmpl w:val="EBFCBB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B9F14F0"/>
    <w:multiLevelType w:val="hybridMultilevel"/>
    <w:tmpl w:val="DBC480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75413DC"/>
    <w:multiLevelType w:val="hybridMultilevel"/>
    <w:tmpl w:val="0536221E"/>
    <w:lvl w:ilvl="0" w:tplc="695095DE">
      <w:start w:val="1"/>
      <w:numFmt w:val="bullet"/>
      <w:lvlText w:val="-"/>
      <w:lvlJc w:val="left"/>
      <w:pPr>
        <w:ind w:left="1080" w:hanging="360"/>
      </w:pPr>
      <w:rPr>
        <w:rFonts w:ascii="Palatino Linotype" w:eastAsia="Times New Roman" w:hAnsi="Palatino Linotype"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609B67DE"/>
    <w:multiLevelType w:val="hybridMultilevel"/>
    <w:tmpl w:val="FFBA4A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D825731"/>
    <w:multiLevelType w:val="hybridMultilevel"/>
    <w:tmpl w:val="54D6FA76"/>
    <w:lvl w:ilvl="0" w:tplc="3274DDA6">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Full" w:cryptAlgorithmClass="hash" w:cryptAlgorithmType="typeAny" w:cryptAlgorithmSid="4" w:cryptSpinCount="100000" w:hash="+xvLm/LhVGyuuQPUv2ONAK7V6L0=" w:salt="dOytRprUdVrK/vWxB54v5w=="/>
  <w:zoom w:percent="130"/>
  <w:proofState w:spelling="clean" w:grammar="clean"/>
  <w:defaultTabStop w:val="708"/>
  <w:hyphenationZone w:val="425"/>
  <w:characterSpacingControl w:val="doNotCompress"/>
  <w:compat>
    <w:compatSetting w:name="compatibilityMode" w:uri="http://schemas.microsoft.com/office/word" w:val="12"/>
  </w:compat>
  <w:rsids>
    <w:rsidRoot w:val="00020A43"/>
    <w:rsid w:val="000054A9"/>
    <w:rsid w:val="00020A43"/>
    <w:rsid w:val="00026E94"/>
    <w:rsid w:val="00057013"/>
    <w:rsid w:val="000630C6"/>
    <w:rsid w:val="000671DA"/>
    <w:rsid w:val="00075907"/>
    <w:rsid w:val="0008579A"/>
    <w:rsid w:val="000D6302"/>
    <w:rsid w:val="00104D46"/>
    <w:rsid w:val="00107CF5"/>
    <w:rsid w:val="00111B99"/>
    <w:rsid w:val="00113275"/>
    <w:rsid w:val="00113B6C"/>
    <w:rsid w:val="00120E73"/>
    <w:rsid w:val="0012396F"/>
    <w:rsid w:val="001239D6"/>
    <w:rsid w:val="00140415"/>
    <w:rsid w:val="0015068B"/>
    <w:rsid w:val="00183997"/>
    <w:rsid w:val="00186AD6"/>
    <w:rsid w:val="00193387"/>
    <w:rsid w:val="00195757"/>
    <w:rsid w:val="001A7143"/>
    <w:rsid w:val="001C0216"/>
    <w:rsid w:val="001C0308"/>
    <w:rsid w:val="001D048A"/>
    <w:rsid w:val="001D56FB"/>
    <w:rsid w:val="001E12ED"/>
    <w:rsid w:val="001E2B43"/>
    <w:rsid w:val="001E580B"/>
    <w:rsid w:val="001F19DD"/>
    <w:rsid w:val="001F1A55"/>
    <w:rsid w:val="001F3A51"/>
    <w:rsid w:val="00204C26"/>
    <w:rsid w:val="00204E8F"/>
    <w:rsid w:val="00217B15"/>
    <w:rsid w:val="002342B2"/>
    <w:rsid w:val="00237B08"/>
    <w:rsid w:val="002437E4"/>
    <w:rsid w:val="00243CBB"/>
    <w:rsid w:val="002454FC"/>
    <w:rsid w:val="00246814"/>
    <w:rsid w:val="00266C3D"/>
    <w:rsid w:val="002933DF"/>
    <w:rsid w:val="002A3287"/>
    <w:rsid w:val="002B2C5F"/>
    <w:rsid w:val="002B4072"/>
    <w:rsid w:val="002B5612"/>
    <w:rsid w:val="002C28DF"/>
    <w:rsid w:val="002C4B74"/>
    <w:rsid w:val="002D38AF"/>
    <w:rsid w:val="002D5DB9"/>
    <w:rsid w:val="002D74DC"/>
    <w:rsid w:val="002F0634"/>
    <w:rsid w:val="002F2023"/>
    <w:rsid w:val="002F3B75"/>
    <w:rsid w:val="00300A18"/>
    <w:rsid w:val="0031180F"/>
    <w:rsid w:val="003174AA"/>
    <w:rsid w:val="003240CE"/>
    <w:rsid w:val="0033278C"/>
    <w:rsid w:val="00341197"/>
    <w:rsid w:val="0034345D"/>
    <w:rsid w:val="00345398"/>
    <w:rsid w:val="00346AD1"/>
    <w:rsid w:val="003541CB"/>
    <w:rsid w:val="0036095B"/>
    <w:rsid w:val="00362C4B"/>
    <w:rsid w:val="0036393F"/>
    <w:rsid w:val="00375D88"/>
    <w:rsid w:val="003834CE"/>
    <w:rsid w:val="003907B6"/>
    <w:rsid w:val="00393FD8"/>
    <w:rsid w:val="003A11A8"/>
    <w:rsid w:val="003A21E9"/>
    <w:rsid w:val="003A3521"/>
    <w:rsid w:val="003A460A"/>
    <w:rsid w:val="003A56D5"/>
    <w:rsid w:val="003C71B3"/>
    <w:rsid w:val="003E0E45"/>
    <w:rsid w:val="003F2020"/>
    <w:rsid w:val="003F54CF"/>
    <w:rsid w:val="003F6733"/>
    <w:rsid w:val="004055AD"/>
    <w:rsid w:val="00417FF1"/>
    <w:rsid w:val="0043291A"/>
    <w:rsid w:val="004356D5"/>
    <w:rsid w:val="004373DF"/>
    <w:rsid w:val="00451A1B"/>
    <w:rsid w:val="00451F36"/>
    <w:rsid w:val="0045603C"/>
    <w:rsid w:val="00461735"/>
    <w:rsid w:val="00486711"/>
    <w:rsid w:val="004B1287"/>
    <w:rsid w:val="004E40B9"/>
    <w:rsid w:val="004E4C14"/>
    <w:rsid w:val="004E7B56"/>
    <w:rsid w:val="004F588A"/>
    <w:rsid w:val="004F6F07"/>
    <w:rsid w:val="005002FA"/>
    <w:rsid w:val="0050496C"/>
    <w:rsid w:val="00510794"/>
    <w:rsid w:val="0051544C"/>
    <w:rsid w:val="005200B1"/>
    <w:rsid w:val="00536EB7"/>
    <w:rsid w:val="00543D32"/>
    <w:rsid w:val="00552B68"/>
    <w:rsid w:val="005654C7"/>
    <w:rsid w:val="005877AD"/>
    <w:rsid w:val="005A2692"/>
    <w:rsid w:val="005A69C0"/>
    <w:rsid w:val="005B3597"/>
    <w:rsid w:val="005C61D0"/>
    <w:rsid w:val="005D3FAE"/>
    <w:rsid w:val="005D6A56"/>
    <w:rsid w:val="005E0305"/>
    <w:rsid w:val="005E04CA"/>
    <w:rsid w:val="00605D73"/>
    <w:rsid w:val="006101DA"/>
    <w:rsid w:val="0061499E"/>
    <w:rsid w:val="006177F9"/>
    <w:rsid w:val="00621868"/>
    <w:rsid w:val="00625B5F"/>
    <w:rsid w:val="00627705"/>
    <w:rsid w:val="00627841"/>
    <w:rsid w:val="00646445"/>
    <w:rsid w:val="00653DCC"/>
    <w:rsid w:val="00677AE1"/>
    <w:rsid w:val="00677F03"/>
    <w:rsid w:val="00682C6A"/>
    <w:rsid w:val="006976B0"/>
    <w:rsid w:val="006B17D3"/>
    <w:rsid w:val="006D3FCB"/>
    <w:rsid w:val="006D74DC"/>
    <w:rsid w:val="006D7741"/>
    <w:rsid w:val="006E77FB"/>
    <w:rsid w:val="006F216F"/>
    <w:rsid w:val="007275DE"/>
    <w:rsid w:val="00743AA0"/>
    <w:rsid w:val="00744120"/>
    <w:rsid w:val="007479F8"/>
    <w:rsid w:val="00750566"/>
    <w:rsid w:val="007512D3"/>
    <w:rsid w:val="007516E9"/>
    <w:rsid w:val="00753884"/>
    <w:rsid w:val="00754A4A"/>
    <w:rsid w:val="00771AB8"/>
    <w:rsid w:val="00771E13"/>
    <w:rsid w:val="00785F76"/>
    <w:rsid w:val="00787D14"/>
    <w:rsid w:val="007902C2"/>
    <w:rsid w:val="00795816"/>
    <w:rsid w:val="007A0F43"/>
    <w:rsid w:val="007A3A8E"/>
    <w:rsid w:val="007B01D1"/>
    <w:rsid w:val="007B2F98"/>
    <w:rsid w:val="007B3D29"/>
    <w:rsid w:val="007C18B4"/>
    <w:rsid w:val="007C65D1"/>
    <w:rsid w:val="007D0610"/>
    <w:rsid w:val="007D7F41"/>
    <w:rsid w:val="007F7D77"/>
    <w:rsid w:val="008138B3"/>
    <w:rsid w:val="00831189"/>
    <w:rsid w:val="00834471"/>
    <w:rsid w:val="0084497A"/>
    <w:rsid w:val="00844F02"/>
    <w:rsid w:val="0085781C"/>
    <w:rsid w:val="0086034B"/>
    <w:rsid w:val="0089567A"/>
    <w:rsid w:val="008A7919"/>
    <w:rsid w:val="008B51EC"/>
    <w:rsid w:val="008B72AF"/>
    <w:rsid w:val="008C1AB3"/>
    <w:rsid w:val="008D5012"/>
    <w:rsid w:val="008D667E"/>
    <w:rsid w:val="008D743A"/>
    <w:rsid w:val="008E1FB9"/>
    <w:rsid w:val="008E474B"/>
    <w:rsid w:val="008E5C58"/>
    <w:rsid w:val="008E5F83"/>
    <w:rsid w:val="008F0A79"/>
    <w:rsid w:val="008F3848"/>
    <w:rsid w:val="008F4BFD"/>
    <w:rsid w:val="00903858"/>
    <w:rsid w:val="00932ECD"/>
    <w:rsid w:val="00934F4F"/>
    <w:rsid w:val="00951770"/>
    <w:rsid w:val="00957D4A"/>
    <w:rsid w:val="009628CF"/>
    <w:rsid w:val="0097387B"/>
    <w:rsid w:val="009853A3"/>
    <w:rsid w:val="009902D0"/>
    <w:rsid w:val="00990673"/>
    <w:rsid w:val="00991BB1"/>
    <w:rsid w:val="009926B7"/>
    <w:rsid w:val="009A22C4"/>
    <w:rsid w:val="009B2488"/>
    <w:rsid w:val="009C18C0"/>
    <w:rsid w:val="009C18D2"/>
    <w:rsid w:val="009C744F"/>
    <w:rsid w:val="009D28DF"/>
    <w:rsid w:val="009E2F05"/>
    <w:rsid w:val="009E5761"/>
    <w:rsid w:val="009F368D"/>
    <w:rsid w:val="009F38C1"/>
    <w:rsid w:val="009F5627"/>
    <w:rsid w:val="00A0122D"/>
    <w:rsid w:val="00A015AF"/>
    <w:rsid w:val="00A07305"/>
    <w:rsid w:val="00A1582D"/>
    <w:rsid w:val="00A373ED"/>
    <w:rsid w:val="00A5349F"/>
    <w:rsid w:val="00A576B4"/>
    <w:rsid w:val="00A57A22"/>
    <w:rsid w:val="00A66C53"/>
    <w:rsid w:val="00A86F7E"/>
    <w:rsid w:val="00A90774"/>
    <w:rsid w:val="00A94859"/>
    <w:rsid w:val="00A96F91"/>
    <w:rsid w:val="00AD2B34"/>
    <w:rsid w:val="00AE0BB5"/>
    <w:rsid w:val="00AE2D42"/>
    <w:rsid w:val="00AF4C88"/>
    <w:rsid w:val="00B01D9C"/>
    <w:rsid w:val="00B02DAC"/>
    <w:rsid w:val="00B10860"/>
    <w:rsid w:val="00B12177"/>
    <w:rsid w:val="00B23366"/>
    <w:rsid w:val="00B4790C"/>
    <w:rsid w:val="00B555F7"/>
    <w:rsid w:val="00B607D8"/>
    <w:rsid w:val="00B61687"/>
    <w:rsid w:val="00B61A47"/>
    <w:rsid w:val="00B64277"/>
    <w:rsid w:val="00B718E9"/>
    <w:rsid w:val="00B72ABE"/>
    <w:rsid w:val="00B73D12"/>
    <w:rsid w:val="00B91C78"/>
    <w:rsid w:val="00BB23ED"/>
    <w:rsid w:val="00BB7827"/>
    <w:rsid w:val="00BC06EF"/>
    <w:rsid w:val="00BC4044"/>
    <w:rsid w:val="00BE5FB3"/>
    <w:rsid w:val="00BF1F76"/>
    <w:rsid w:val="00BF3C26"/>
    <w:rsid w:val="00C24D9D"/>
    <w:rsid w:val="00C261E8"/>
    <w:rsid w:val="00C30ACD"/>
    <w:rsid w:val="00C329DE"/>
    <w:rsid w:val="00C411F0"/>
    <w:rsid w:val="00C4153C"/>
    <w:rsid w:val="00C41C1E"/>
    <w:rsid w:val="00C52514"/>
    <w:rsid w:val="00C56D0D"/>
    <w:rsid w:val="00C60304"/>
    <w:rsid w:val="00C605E7"/>
    <w:rsid w:val="00C66501"/>
    <w:rsid w:val="00C66921"/>
    <w:rsid w:val="00C708B5"/>
    <w:rsid w:val="00C710FD"/>
    <w:rsid w:val="00C775E2"/>
    <w:rsid w:val="00CA2047"/>
    <w:rsid w:val="00CB2788"/>
    <w:rsid w:val="00CB375D"/>
    <w:rsid w:val="00CB39CE"/>
    <w:rsid w:val="00CC45DB"/>
    <w:rsid w:val="00CD0A14"/>
    <w:rsid w:val="00CD2585"/>
    <w:rsid w:val="00CD502B"/>
    <w:rsid w:val="00CE5B4D"/>
    <w:rsid w:val="00CF7171"/>
    <w:rsid w:val="00D02B88"/>
    <w:rsid w:val="00D113A0"/>
    <w:rsid w:val="00D17EB4"/>
    <w:rsid w:val="00D2049B"/>
    <w:rsid w:val="00D24FC5"/>
    <w:rsid w:val="00D27CBB"/>
    <w:rsid w:val="00D339BB"/>
    <w:rsid w:val="00D422B9"/>
    <w:rsid w:val="00D42980"/>
    <w:rsid w:val="00D53456"/>
    <w:rsid w:val="00D76757"/>
    <w:rsid w:val="00D81266"/>
    <w:rsid w:val="00DA349A"/>
    <w:rsid w:val="00DA3784"/>
    <w:rsid w:val="00DC5D51"/>
    <w:rsid w:val="00DD374B"/>
    <w:rsid w:val="00DD500D"/>
    <w:rsid w:val="00DF789B"/>
    <w:rsid w:val="00E1098D"/>
    <w:rsid w:val="00E12E45"/>
    <w:rsid w:val="00E22FF1"/>
    <w:rsid w:val="00E25FDB"/>
    <w:rsid w:val="00E27D00"/>
    <w:rsid w:val="00E32B2F"/>
    <w:rsid w:val="00E532BD"/>
    <w:rsid w:val="00E53DE4"/>
    <w:rsid w:val="00E777AA"/>
    <w:rsid w:val="00E77DF6"/>
    <w:rsid w:val="00E80D17"/>
    <w:rsid w:val="00E85256"/>
    <w:rsid w:val="00E90DAA"/>
    <w:rsid w:val="00E9101B"/>
    <w:rsid w:val="00E92445"/>
    <w:rsid w:val="00EA763F"/>
    <w:rsid w:val="00EB2197"/>
    <w:rsid w:val="00EE004F"/>
    <w:rsid w:val="00EE110D"/>
    <w:rsid w:val="00EE7D88"/>
    <w:rsid w:val="00EF3A72"/>
    <w:rsid w:val="00F05525"/>
    <w:rsid w:val="00F331EB"/>
    <w:rsid w:val="00F362E3"/>
    <w:rsid w:val="00F439E9"/>
    <w:rsid w:val="00F44D58"/>
    <w:rsid w:val="00F50D10"/>
    <w:rsid w:val="00F54B89"/>
    <w:rsid w:val="00F64861"/>
    <w:rsid w:val="00F66F14"/>
    <w:rsid w:val="00F73E8E"/>
    <w:rsid w:val="00FA02F8"/>
    <w:rsid w:val="00FB24FA"/>
    <w:rsid w:val="00FB4A94"/>
    <w:rsid w:val="00FC2E56"/>
    <w:rsid w:val="00FC39C4"/>
    <w:rsid w:val="00FE38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D0D5E-2F4B-43B5-9206-BB0D1E9A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4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F38C1"/>
  </w:style>
  <w:style w:type="paragraph" w:styleId="Prrafodelista">
    <w:name w:val="List Paragraph"/>
    <w:basedOn w:val="Normal"/>
    <w:uiPriority w:val="34"/>
    <w:qFormat/>
    <w:rsid w:val="00D76757"/>
    <w:pPr>
      <w:ind w:left="720"/>
      <w:contextualSpacing/>
    </w:pPr>
  </w:style>
  <w:style w:type="character" w:styleId="Hipervnculo">
    <w:name w:val="Hyperlink"/>
    <w:basedOn w:val="Fuentedeprrafopredeter"/>
    <w:uiPriority w:val="99"/>
    <w:unhideWhenUsed/>
    <w:rsid w:val="005E0305"/>
    <w:rPr>
      <w:color w:val="0000FF" w:themeColor="hyperlink"/>
      <w:u w:val="single"/>
    </w:rPr>
  </w:style>
  <w:style w:type="paragraph" w:styleId="NormalWeb">
    <w:name w:val="Normal (Web)"/>
    <w:basedOn w:val="Normal"/>
    <w:uiPriority w:val="99"/>
    <w:semiHidden/>
    <w:unhideWhenUsed/>
    <w:rsid w:val="005E0305"/>
    <w:pPr>
      <w:spacing w:before="100" w:beforeAutospacing="1" w:after="100" w:afterAutospacing="1"/>
    </w:pPr>
    <w:rPr>
      <w:lang w:val="es-AR" w:eastAsia="es-AR"/>
    </w:rPr>
  </w:style>
  <w:style w:type="character" w:customStyle="1" w:styleId="resumen">
    <w:name w:val="resumen"/>
    <w:basedOn w:val="Fuentedeprrafopredeter"/>
    <w:rsid w:val="005E0305"/>
  </w:style>
  <w:style w:type="paragraph" w:customStyle="1" w:styleId="epigrafe">
    <w:name w:val="epigrafe"/>
    <w:basedOn w:val="Normal"/>
    <w:rsid w:val="005E0305"/>
    <w:pPr>
      <w:spacing w:before="100" w:beforeAutospacing="1" w:after="100" w:afterAutospacing="1"/>
    </w:pPr>
    <w:rPr>
      <w:lang w:val="es-AR" w:eastAsia="es-AR"/>
    </w:rPr>
  </w:style>
  <w:style w:type="character" w:customStyle="1" w:styleId="detalle">
    <w:name w:val="detalle"/>
    <w:basedOn w:val="Fuentedeprrafopredeter"/>
    <w:rsid w:val="005E0305"/>
  </w:style>
  <w:style w:type="paragraph" w:styleId="Textodeglobo">
    <w:name w:val="Balloon Text"/>
    <w:basedOn w:val="Normal"/>
    <w:link w:val="TextodegloboCar"/>
    <w:uiPriority w:val="99"/>
    <w:semiHidden/>
    <w:unhideWhenUsed/>
    <w:rsid w:val="005E030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305"/>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97450">
      <w:bodyDiv w:val="1"/>
      <w:marLeft w:val="0"/>
      <w:marRight w:val="0"/>
      <w:marTop w:val="0"/>
      <w:marBottom w:val="0"/>
      <w:divBdr>
        <w:top w:val="none" w:sz="0" w:space="0" w:color="auto"/>
        <w:left w:val="none" w:sz="0" w:space="0" w:color="auto"/>
        <w:bottom w:val="none" w:sz="0" w:space="0" w:color="auto"/>
        <w:right w:val="none" w:sz="0" w:space="0" w:color="auto"/>
      </w:divBdr>
      <w:divsChild>
        <w:div w:id="472646651">
          <w:marLeft w:val="0"/>
          <w:marRight w:val="0"/>
          <w:marTop w:val="0"/>
          <w:marBottom w:val="0"/>
          <w:divBdr>
            <w:top w:val="none" w:sz="0" w:space="0" w:color="auto"/>
            <w:left w:val="none" w:sz="0" w:space="0" w:color="auto"/>
            <w:bottom w:val="none" w:sz="0" w:space="0" w:color="auto"/>
            <w:right w:val="none" w:sz="0" w:space="0" w:color="auto"/>
          </w:divBdr>
        </w:div>
        <w:div w:id="1118986719">
          <w:marLeft w:val="200"/>
          <w:marRight w:val="0"/>
          <w:marTop w:val="0"/>
          <w:marBottom w:val="0"/>
          <w:divBdr>
            <w:top w:val="none" w:sz="0" w:space="0" w:color="auto"/>
            <w:left w:val="none" w:sz="0" w:space="0" w:color="auto"/>
            <w:bottom w:val="none" w:sz="0" w:space="0" w:color="auto"/>
            <w:right w:val="none" w:sz="0" w:space="0" w:color="auto"/>
          </w:divBdr>
        </w:div>
      </w:divsChild>
    </w:div>
    <w:div w:id="1708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532C8-BDEB-496B-B350-0153EEF0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1384</Words>
  <Characters>7615</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guido.garcia</dc:creator>
  <cp:lastModifiedBy>javier.casadas</cp:lastModifiedBy>
  <cp:revision>3</cp:revision>
  <cp:lastPrinted>2019-02-07T13:35:00Z</cp:lastPrinted>
  <dcterms:created xsi:type="dcterms:W3CDTF">2019-02-11T17:08:00Z</dcterms:created>
  <dcterms:modified xsi:type="dcterms:W3CDTF">2019-02-15T17:06:00Z</dcterms:modified>
</cp:coreProperties>
</file>